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E0A" w:rsidRDefault="00BD3E0A">
      <w:pPr>
        <w:pStyle w:val="Standard"/>
        <w:widowControl w:val="0"/>
        <w:rPr>
          <w:b/>
          <w:bCs/>
          <w:i/>
          <w:color w:val="000000"/>
        </w:rPr>
      </w:pPr>
      <w:bookmarkStart w:id="0" w:name="_GoBack"/>
      <w:bookmarkEnd w:id="0"/>
    </w:p>
    <w:p w:rsidR="00BD3E0A" w:rsidRDefault="007B0C45">
      <w:pPr>
        <w:pStyle w:val="Standard"/>
        <w:spacing w:line="276" w:lineRule="auto"/>
        <w:rPr>
          <w:b/>
          <w:color w:val="00B050"/>
          <w:sz w:val="16"/>
          <w:szCs w:val="16"/>
        </w:rPr>
      </w:pPr>
      <w:r>
        <w:rPr>
          <w:noProof/>
          <w:lang w:val="en-US" w:eastAsia="en-US"/>
        </w:rPr>
        <w:drawing>
          <wp:anchor distT="0" distB="0" distL="114300" distR="114300" simplePos="0" relativeHeight="2" behindDoc="0" locked="0" layoutInCell="1" allowOverlap="1" wp14:anchorId="6ECF59CF" wp14:editId="23B55D67">
            <wp:simplePos x="0" y="0"/>
            <wp:positionH relativeFrom="column">
              <wp:posOffset>4105275</wp:posOffset>
            </wp:positionH>
            <wp:positionV relativeFrom="page">
              <wp:posOffset>685800</wp:posOffset>
            </wp:positionV>
            <wp:extent cx="1324610" cy="793115"/>
            <wp:effectExtent l="0" t="0" r="8890" b="6985"/>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324610" cy="793115"/>
                    </a:xfrm>
                    <a:prstGeom prst="rect">
                      <a:avLst/>
                    </a:prstGeom>
                    <a:solidFill>
                      <a:srgbClr val="FFFFFF"/>
                    </a:solidFill>
                    <a:ln>
                      <a:noFill/>
                    </a:ln>
                  </pic:spPr>
                </pic:pic>
              </a:graphicData>
            </a:graphic>
          </wp:anchor>
        </w:drawing>
      </w:r>
    </w:p>
    <w:p w:rsidR="00BD3E0A" w:rsidRDefault="0003502D">
      <w:pPr>
        <w:pStyle w:val="Standard"/>
        <w:spacing w:line="276" w:lineRule="auto"/>
      </w:pPr>
      <w:r>
        <w:rPr>
          <w:noProof/>
          <w:lang w:val="en-US" w:eastAsia="en-US"/>
        </w:rPr>
        <w:drawing>
          <wp:inline distT="0" distB="0" distL="0" distR="0" wp14:anchorId="7FCCEDFD" wp14:editId="73D2FE3D">
            <wp:extent cx="1807951" cy="914400"/>
            <wp:effectExtent l="0" t="0" r="1799"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807951" cy="914400"/>
                    </a:xfrm>
                    <a:prstGeom prst="rect">
                      <a:avLst/>
                    </a:prstGeom>
                    <a:ln>
                      <a:noFill/>
                      <a:prstDash/>
                    </a:ln>
                  </pic:spPr>
                </pic:pic>
              </a:graphicData>
            </a:graphic>
          </wp:inline>
        </w:drawing>
      </w:r>
      <w:r>
        <w:rPr>
          <w:b/>
          <w:color w:val="FF0000"/>
          <w:sz w:val="16"/>
          <w:szCs w:val="16"/>
        </w:rPr>
        <w:t xml:space="preserve">                                                                                                 </w:t>
      </w:r>
    </w:p>
    <w:p w:rsidR="00BD3E0A" w:rsidRDefault="0003502D">
      <w:pPr>
        <w:pStyle w:val="Standard"/>
        <w:spacing w:line="276" w:lineRule="auto"/>
        <w:jc w:val="both"/>
      </w:pPr>
      <w:r>
        <w:rPr>
          <w:b/>
          <w:color w:val="FF0000"/>
          <w:sz w:val="16"/>
          <w:szCs w:val="16"/>
        </w:rPr>
        <w:t xml:space="preserve">       </w:t>
      </w:r>
      <w:r>
        <w:rPr>
          <w:b/>
          <w:sz w:val="16"/>
          <w:szCs w:val="16"/>
        </w:rPr>
        <w:t xml:space="preserve">Програма за развитие на                                                                                                         Европейски земеделски фонд                                                                              </w:t>
      </w:r>
    </w:p>
    <w:p w:rsidR="00BD3E0A" w:rsidRDefault="0003502D">
      <w:pPr>
        <w:pStyle w:val="Standard"/>
        <w:spacing w:line="276" w:lineRule="auto"/>
        <w:jc w:val="both"/>
      </w:pPr>
      <w:r>
        <w:rPr>
          <w:b/>
          <w:sz w:val="16"/>
          <w:szCs w:val="16"/>
        </w:rPr>
        <w:t xml:space="preserve">       селските райони (2014-2020)                                                                                                    за развитие на селските райони</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tabs>
          <w:tab w:val="left" w:pos="5626"/>
        </w:tabs>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Утвърдил: </w:t>
      </w:r>
      <w:r w:rsidRPr="008D41E2">
        <w:rPr>
          <w:rFonts w:ascii="Times New Roman" w:eastAsia="Times New Roman" w:hAnsi="Times New Roman" w:cs="Times New Roman"/>
          <w:b/>
          <w:sz w:val="24"/>
          <w:szCs w:val="24"/>
          <w:lang w:eastAsia="bg-BG"/>
        </w:rPr>
        <w:tab/>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Д-р ЛОЗАНА ВАСИЛЕВА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       Заместник-министър на земеделието, храните и горите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       и ръководител на УО на ПРСРС 2014-2020 г.</w:t>
      </w:r>
    </w:p>
    <w:p w:rsidR="008D41E2" w:rsidRDefault="00946A86" w:rsidP="008D41E2">
      <w:pPr>
        <w:widowControl/>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                                                                    </w:t>
      </w:r>
    </w:p>
    <w:p w:rsidR="008D41E2" w:rsidRPr="00946A86" w:rsidRDefault="00946A86" w:rsidP="005472B5">
      <w:pPr>
        <w:widowControl/>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p>
    <w:p w:rsidR="008D41E2" w:rsidRPr="008D41E2" w:rsidRDefault="008D41E2" w:rsidP="008D41E2">
      <w:pPr>
        <w:widowControl/>
        <w:spacing w:after="0" w:line="240" w:lineRule="auto"/>
        <w:jc w:val="center"/>
      </w:pPr>
      <w:r w:rsidRPr="008D41E2">
        <w:rPr>
          <w:rFonts w:ascii="Times New Roman" w:eastAsia="Times New Roman" w:hAnsi="Times New Roman" w:cs="Times New Roman"/>
          <w:b/>
          <w:sz w:val="28"/>
          <w:szCs w:val="28"/>
          <w:lang w:eastAsia="bg-BG"/>
        </w:rPr>
        <w:t>ПРОТОКОЛ</w:t>
      </w:r>
    </w:p>
    <w:p w:rsidR="008D41E2" w:rsidRPr="008D41E2" w:rsidRDefault="008D41E2" w:rsidP="008D41E2">
      <w:pPr>
        <w:widowControl/>
        <w:spacing w:after="0" w:line="240" w:lineRule="auto"/>
        <w:jc w:val="center"/>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center"/>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center"/>
      </w:pPr>
      <w:r w:rsidRPr="008D41E2">
        <w:rPr>
          <w:rFonts w:ascii="Times New Roman" w:eastAsia="Times New Roman" w:hAnsi="Times New Roman" w:cs="Times New Roman"/>
          <w:b/>
          <w:sz w:val="24"/>
          <w:szCs w:val="24"/>
          <w:lang w:eastAsia="bg-BG"/>
        </w:rPr>
        <w:t>ОТ ЕДИНАДЕСЕТОТО ЗАСЕДАНИЕ НА КОМИТЕТА ЗА НАБЛЮДЕНИЕ НА</w:t>
      </w:r>
    </w:p>
    <w:p w:rsidR="008D41E2" w:rsidRPr="008D41E2" w:rsidRDefault="008D41E2" w:rsidP="008D41E2">
      <w:pPr>
        <w:widowControl/>
        <w:spacing w:after="0" w:line="240" w:lineRule="auto"/>
        <w:jc w:val="center"/>
      </w:pPr>
      <w:r w:rsidRPr="008D41E2">
        <w:rPr>
          <w:rFonts w:ascii="Times New Roman" w:eastAsia="Times New Roman" w:hAnsi="Times New Roman" w:cs="Times New Roman"/>
          <w:b/>
          <w:sz w:val="24"/>
          <w:szCs w:val="24"/>
          <w:lang w:eastAsia="bg-BG"/>
        </w:rPr>
        <w:t xml:space="preserve">ПРОГРАМАТА ЗА РАЗВИТИЕ НА СЕЛСКИТЕ РАЙОНИ </w:t>
      </w:r>
      <w:r w:rsidRPr="008D41E2">
        <w:rPr>
          <w:rFonts w:ascii="Times New Roman" w:eastAsia="Times New Roman" w:hAnsi="Times New Roman" w:cs="Times New Roman"/>
          <w:b/>
          <w:sz w:val="24"/>
          <w:szCs w:val="24"/>
          <w:lang w:val="en-US" w:eastAsia="bg-BG"/>
        </w:rPr>
        <w:t>(</w:t>
      </w:r>
      <w:r w:rsidRPr="008D41E2">
        <w:rPr>
          <w:rFonts w:ascii="Times New Roman" w:eastAsia="Times New Roman" w:hAnsi="Times New Roman" w:cs="Times New Roman"/>
          <w:b/>
          <w:sz w:val="24"/>
          <w:szCs w:val="24"/>
          <w:lang w:eastAsia="bg-BG"/>
        </w:rPr>
        <w:t>2014-2020г.</w:t>
      </w:r>
      <w:r w:rsidRPr="008D41E2">
        <w:rPr>
          <w:rFonts w:ascii="Times New Roman" w:eastAsia="Times New Roman" w:hAnsi="Times New Roman" w:cs="Times New Roman"/>
          <w:b/>
          <w:sz w:val="24"/>
          <w:szCs w:val="24"/>
          <w:lang w:val="en-US" w:eastAsia="bg-BG"/>
        </w:rPr>
        <w:t>)</w:t>
      </w:r>
    </w:p>
    <w:p w:rsidR="008D41E2" w:rsidRPr="00160A9C" w:rsidRDefault="008D41E2" w:rsidP="008D41E2">
      <w:pPr>
        <w:widowControl/>
        <w:spacing w:after="0" w:line="240" w:lineRule="auto"/>
        <w:rPr>
          <w:rFonts w:ascii="Times New Roman" w:eastAsia="Times New Roman" w:hAnsi="Times New Roman" w:cs="Times New Roman"/>
          <w:b/>
          <w:sz w:val="24"/>
          <w:szCs w:val="24"/>
          <w:lang w:val="en-US" w:eastAsia="bg-BG"/>
        </w:rPr>
      </w:pPr>
    </w:p>
    <w:p w:rsidR="008D41E2" w:rsidRPr="008D41E2" w:rsidRDefault="008D41E2" w:rsidP="008D41E2">
      <w:pPr>
        <w:widowControl/>
        <w:spacing w:after="0" w:line="240" w:lineRule="auto"/>
      </w:pPr>
      <w:r w:rsidRPr="008D41E2">
        <w:rPr>
          <w:rFonts w:ascii="Times New Roman" w:eastAsia="Times New Roman" w:hAnsi="Times New Roman" w:cs="Times New Roman"/>
          <w:b/>
          <w:sz w:val="24"/>
          <w:szCs w:val="24"/>
          <w:lang w:eastAsia="bg-BG"/>
        </w:rPr>
        <w:t xml:space="preserve">Дата и място на провеждане:                                                      11.12.2018г. </w:t>
      </w:r>
      <w:r w:rsidRPr="008D41E2">
        <w:rPr>
          <w:rFonts w:ascii="Times New Roman" w:eastAsia="Times New Roman" w:hAnsi="Times New Roman" w:cs="Times New Roman"/>
          <w:b/>
          <w:sz w:val="24"/>
          <w:szCs w:val="24"/>
          <w:lang w:val="en-US" w:eastAsia="bg-BG"/>
        </w:rPr>
        <w:t>(</w:t>
      </w:r>
      <w:r w:rsidRPr="008D41E2">
        <w:rPr>
          <w:rFonts w:ascii="Times New Roman" w:eastAsia="Times New Roman" w:hAnsi="Times New Roman" w:cs="Times New Roman"/>
          <w:b/>
          <w:sz w:val="24"/>
          <w:szCs w:val="24"/>
          <w:lang w:eastAsia="bg-BG"/>
        </w:rPr>
        <w:t>вторник</w:t>
      </w:r>
      <w:r w:rsidRPr="008D41E2">
        <w:rPr>
          <w:rFonts w:ascii="Times New Roman" w:eastAsia="Times New Roman" w:hAnsi="Times New Roman" w:cs="Times New Roman"/>
          <w:b/>
          <w:sz w:val="24"/>
          <w:szCs w:val="24"/>
          <w:lang w:val="en-US" w:eastAsia="bg-BG"/>
        </w:rPr>
        <w:t>)</w:t>
      </w:r>
    </w:p>
    <w:p w:rsidR="008D41E2" w:rsidRPr="008D41E2" w:rsidRDefault="008D41E2" w:rsidP="008D41E2">
      <w:pPr>
        <w:widowControl/>
        <w:spacing w:after="0" w:line="240" w:lineRule="auto"/>
      </w:pPr>
      <w:r w:rsidRPr="008D41E2">
        <w:rPr>
          <w:rFonts w:ascii="Times New Roman" w:eastAsia="Times New Roman" w:hAnsi="Times New Roman" w:cs="Times New Roman"/>
          <w:b/>
          <w:sz w:val="24"/>
          <w:szCs w:val="24"/>
          <w:lang w:eastAsia="bg-BG"/>
        </w:rPr>
        <w:t>хотел  „Рамада”</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бул. „Княгиня Мария-Луиза“ № 131</w:t>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t xml:space="preserve">  </w:t>
      </w:r>
    </w:p>
    <w:p w:rsidR="008D41E2" w:rsidRPr="008D41E2" w:rsidRDefault="008D41E2" w:rsidP="008D41E2">
      <w:pPr>
        <w:widowControl/>
        <w:spacing w:after="0" w:line="240" w:lineRule="auto"/>
        <w:rPr>
          <w:rFonts w:ascii="Times New Roman" w:eastAsia="Times New Roman" w:hAnsi="Times New Roman" w:cs="Times New Roman"/>
          <w:b/>
          <w:sz w:val="24"/>
          <w:szCs w:val="24"/>
          <w:lang w:eastAsia="bg-BG"/>
        </w:rPr>
      </w:pPr>
    </w:p>
    <w:p w:rsidR="008D41E2" w:rsidRPr="00160A9C" w:rsidRDefault="008D41E2" w:rsidP="00160A9C">
      <w:pPr>
        <w:widowControl/>
        <w:spacing w:after="0" w:line="240" w:lineRule="auto"/>
        <w:rPr>
          <w:lang w:val="en-US"/>
        </w:rPr>
      </w:pPr>
      <w:r w:rsidRPr="008D41E2">
        <w:rPr>
          <w:rFonts w:ascii="Times New Roman" w:eastAsia="Times New Roman" w:hAnsi="Times New Roman" w:cs="Times New Roman"/>
          <w:b/>
          <w:sz w:val="24"/>
          <w:szCs w:val="24"/>
          <w:lang w:eastAsia="bg-BG"/>
        </w:rPr>
        <w:t xml:space="preserve">                                                                                  </w:t>
      </w:r>
      <w:r w:rsidR="00160A9C">
        <w:rPr>
          <w:rFonts w:ascii="Times New Roman" w:eastAsia="Times New Roman" w:hAnsi="Times New Roman" w:cs="Times New Roman"/>
          <w:b/>
          <w:sz w:val="24"/>
          <w:szCs w:val="24"/>
          <w:lang w:eastAsia="bg-BG"/>
        </w:rPr>
        <w:t xml:space="preserve"> </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center"/>
      </w:pPr>
      <w:r w:rsidRPr="008D41E2">
        <w:rPr>
          <w:rFonts w:ascii="Times New Roman" w:eastAsia="Times New Roman" w:hAnsi="Times New Roman" w:cs="Times New Roman"/>
          <w:b/>
          <w:sz w:val="28"/>
          <w:szCs w:val="28"/>
          <w:lang w:eastAsia="bg-BG"/>
        </w:rPr>
        <w:t>ДНЕВЕН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center"/>
      </w:pPr>
      <w:r w:rsidRPr="008D41E2">
        <w:rPr>
          <w:rFonts w:ascii="Times New Roman" w:eastAsia="Times New Roman" w:hAnsi="Times New Roman" w:cs="Times New Roman"/>
          <w:b/>
          <w:sz w:val="24"/>
          <w:szCs w:val="24"/>
          <w:lang w:eastAsia="bg-BG"/>
        </w:rPr>
        <w:t>за провеждане на единадесето заседание на Комитета за наблюдение</w:t>
      </w:r>
    </w:p>
    <w:p w:rsidR="008D41E2" w:rsidRPr="008D41E2" w:rsidRDefault="008D41E2" w:rsidP="008D41E2">
      <w:pPr>
        <w:widowControl/>
        <w:spacing w:after="0" w:line="240" w:lineRule="auto"/>
        <w:jc w:val="center"/>
      </w:pPr>
      <w:r w:rsidRPr="008D41E2">
        <w:rPr>
          <w:rFonts w:ascii="Times New Roman" w:eastAsia="Times New Roman" w:hAnsi="Times New Roman" w:cs="Times New Roman"/>
          <w:b/>
          <w:sz w:val="24"/>
          <w:szCs w:val="24"/>
          <w:lang w:eastAsia="bg-BG"/>
        </w:rPr>
        <w:t>на Програмата за развитие на селските райони (2014-2020)</w:t>
      </w:r>
    </w:p>
    <w:p w:rsidR="008D41E2" w:rsidRPr="008D41E2" w:rsidRDefault="008D41E2" w:rsidP="008D41E2">
      <w:pPr>
        <w:widowControl/>
        <w:spacing w:after="0" w:line="240" w:lineRule="auto"/>
        <w:jc w:val="center"/>
      </w:pPr>
      <w:r w:rsidRPr="008D41E2">
        <w:rPr>
          <w:rFonts w:ascii="Times New Roman" w:eastAsia="Times New Roman" w:hAnsi="Times New Roman" w:cs="Times New Roman"/>
          <w:b/>
          <w:sz w:val="24"/>
          <w:szCs w:val="24"/>
          <w:lang w:eastAsia="bg-BG"/>
        </w:rPr>
        <w:t>на 11.12.2018 г. в хотел „Рамада“, гр. София, бул. „Княгиня Мария-Луиза“ № 131</w:t>
      </w:r>
    </w:p>
    <w:p w:rsidR="008D41E2" w:rsidRPr="008D41E2" w:rsidRDefault="008D41E2" w:rsidP="008D41E2">
      <w:pPr>
        <w:widowControl/>
        <w:spacing w:after="0" w:line="240" w:lineRule="auto"/>
        <w:jc w:val="center"/>
        <w:rPr>
          <w:rFonts w:ascii="Times New Roman" w:eastAsia="Times New Roman" w:hAnsi="Times New Roman" w:cs="Times New Roman"/>
          <w:b/>
          <w:sz w:val="24"/>
          <w:szCs w:val="24"/>
          <w:lang w:eastAsia="bg-BG"/>
        </w:rPr>
      </w:pPr>
    </w:p>
    <w:p w:rsidR="00446CBF" w:rsidRDefault="008D41E2" w:rsidP="008D41E2">
      <w:pPr>
        <w:widowControl/>
        <w:spacing w:after="0" w:line="240" w:lineRule="auto"/>
        <w:jc w:val="both"/>
        <w:rPr>
          <w:rFonts w:ascii="Times New Roman" w:eastAsia="Times New Roman" w:hAnsi="Times New Roman" w:cs="Times New Roman"/>
          <w:b/>
          <w:sz w:val="24"/>
          <w:szCs w:val="24"/>
          <w:lang w:eastAsia="bg-BG"/>
        </w:rPr>
      </w:pP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r>
      <w:r w:rsidRPr="008D41E2">
        <w:rPr>
          <w:rFonts w:ascii="Times New Roman" w:eastAsia="Times New Roman" w:hAnsi="Times New Roman" w:cs="Times New Roman"/>
          <w:b/>
          <w:sz w:val="24"/>
          <w:szCs w:val="24"/>
          <w:lang w:eastAsia="bg-BG"/>
        </w:rPr>
        <w:tab/>
        <w:t xml:space="preserve">                             </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                                                                                                                     </w:t>
      </w:r>
    </w:p>
    <w:tbl>
      <w:tblPr>
        <w:tblW w:w="10140" w:type="dxa"/>
        <w:tblInd w:w="1" w:type="dxa"/>
        <w:tblLayout w:type="fixed"/>
        <w:tblCellMar>
          <w:left w:w="10" w:type="dxa"/>
          <w:right w:w="10" w:type="dxa"/>
        </w:tblCellMar>
        <w:tblLook w:val="0000" w:firstRow="0" w:lastRow="0" w:firstColumn="0" w:lastColumn="0" w:noHBand="0" w:noVBand="0"/>
      </w:tblPr>
      <w:tblGrid>
        <w:gridCol w:w="1708"/>
        <w:gridCol w:w="8432"/>
      </w:tblGrid>
      <w:tr w:rsidR="008D41E2" w:rsidRPr="008D41E2" w:rsidTr="008D41E2">
        <w:trPr>
          <w:trHeight w:val="337"/>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9:00 – 9:30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Регистрация на участниците и кафе пауза</w:t>
            </w:r>
          </w:p>
        </w:tc>
      </w:tr>
      <w:tr w:rsidR="008D41E2" w:rsidRPr="008D41E2" w:rsidTr="008D41E2">
        <w:trPr>
          <w:trHeight w:val="1521"/>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9:30– 9:40</w:t>
            </w:r>
            <w:r w:rsidRPr="008D41E2">
              <w:rPr>
                <w:rFonts w:ascii="Times New Roman" w:eastAsia="Times New Roman" w:hAnsi="Times New Roman" w:cs="Times New Roman"/>
                <w:b/>
                <w:sz w:val="24"/>
                <w:szCs w:val="24"/>
                <w:lang w:eastAsia="bg-BG"/>
              </w:rPr>
              <w:tab/>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624083" w:rsidRDefault="008D41E2" w:rsidP="008D41E2">
            <w:pPr>
              <w:widowControl/>
              <w:spacing w:after="0" w:line="240" w:lineRule="auto"/>
              <w:jc w:val="both"/>
              <w:rPr>
                <w:lang w:val="en-US"/>
              </w:rPr>
            </w:pPr>
            <w:r w:rsidRPr="008D41E2">
              <w:rPr>
                <w:rFonts w:ascii="Times New Roman" w:eastAsia="Times New Roman" w:hAnsi="Times New Roman" w:cs="Times New Roman"/>
                <w:b/>
                <w:sz w:val="24"/>
                <w:szCs w:val="24"/>
                <w:lang w:eastAsia="bg-BG"/>
              </w:rPr>
              <w:t>т. 1. Откриване на заседанието на КН на ПРСР (2014-2020), приемане на дневния ред.</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за одобрение</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д-р Лозана</w:t>
            </w:r>
            <w:r w:rsidRPr="008D41E2">
              <w:rPr>
                <w:rFonts w:ascii="Times New Roman" w:eastAsia="Times New Roman" w:hAnsi="Times New Roman" w:cs="Times New Roman"/>
                <w:i/>
                <w:sz w:val="24"/>
                <w:szCs w:val="24"/>
                <w:lang w:val="en-US" w:eastAsia="bg-BG"/>
              </w:rPr>
              <w:t xml:space="preserve"> </w:t>
            </w:r>
            <w:r w:rsidRPr="008D41E2">
              <w:rPr>
                <w:rFonts w:ascii="Times New Roman" w:eastAsia="Times New Roman" w:hAnsi="Times New Roman" w:cs="Times New Roman"/>
                <w:i/>
                <w:sz w:val="24"/>
                <w:szCs w:val="24"/>
                <w:lang w:eastAsia="bg-BG"/>
              </w:rPr>
              <w:t>Василева – заместник-министър на земеделието, храните и горите и председател на КН на ПРСР (2014-2020)</w:t>
            </w:r>
          </w:p>
        </w:tc>
      </w:tr>
      <w:tr w:rsidR="008D41E2" w:rsidRPr="008D41E2" w:rsidTr="008D41E2">
        <w:trPr>
          <w:trHeight w:val="803"/>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9:40 – 9:50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160A9C" w:rsidRDefault="008D41E2" w:rsidP="008D41E2">
            <w:pPr>
              <w:widowControl/>
              <w:spacing w:after="0" w:line="240" w:lineRule="auto"/>
              <w:jc w:val="both"/>
              <w:rPr>
                <w:lang w:val="en-US"/>
              </w:rPr>
            </w:pPr>
            <w:r w:rsidRPr="008D41E2">
              <w:rPr>
                <w:rFonts w:ascii="Times New Roman" w:eastAsia="Times New Roman" w:hAnsi="Times New Roman" w:cs="Times New Roman"/>
                <w:b/>
                <w:sz w:val="24"/>
                <w:szCs w:val="24"/>
                <w:lang w:eastAsia="bg-BG"/>
              </w:rPr>
              <w:t>т. 2. Приемане на протокола от 10-то заседание на КН на ПРСР (2014-2020), вкл. корекция на техническа грешка в уточняващ текст към критериите за подбор по подмярка 16.1„Подкрепа за сформиране и функциониране на оперативни групи в рамките на ЕПИ за селскостопанска производителност и устойчивост“</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за одобрение</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Докладва: Секретариат на КН на ПРСР</w:t>
            </w:r>
            <w:r w:rsidRPr="008D41E2">
              <w:rPr>
                <w:rFonts w:ascii="Times New Roman" w:eastAsia="Times New Roman" w:hAnsi="Times New Roman" w:cs="Times New Roman"/>
                <w:i/>
                <w:sz w:val="24"/>
                <w:szCs w:val="24"/>
                <w:lang w:eastAsia="bg-BG"/>
              </w:rPr>
              <w:tab/>
              <w:t>(2014-2020)</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 xml:space="preserve">                 УО на ПРСР (2014-2020)</w:t>
            </w:r>
          </w:p>
        </w:tc>
      </w:tr>
      <w:tr w:rsidR="008D41E2" w:rsidRPr="008D41E2" w:rsidTr="008D41E2">
        <w:trPr>
          <w:trHeight w:val="416"/>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9:50 – 12:30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т. 3. Предложения на Управляващия орган (УО) на ПРСР (2014-2020) за </w:t>
            </w:r>
            <w:r w:rsidRPr="008D41E2">
              <w:rPr>
                <w:rFonts w:ascii="Times New Roman" w:eastAsia="Times New Roman" w:hAnsi="Times New Roman" w:cs="Times New Roman"/>
                <w:b/>
                <w:sz w:val="24"/>
                <w:szCs w:val="24"/>
                <w:lang w:eastAsia="bg-BG"/>
              </w:rPr>
              <w:lastRenderedPageBreak/>
              <w:t>изменение и допълнение на Програмата за развитие на селските райони (2014-2020):</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3.1. Промени в текста на мярка 1 „Трансфер на знания и действия за осведомяване“;</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3.2. Промяна в текста на подмярка 16.1 „Подкрепа за сформиране и функциониране на оперативни групи в рамките на ЕПИ за селскостопанска производителност и устойчивост“;</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3.3. Промени в текста на ПРСР, свързани с изготвяне на методика, за определяне на опростени разходи, които ще се прилагат по следните мерки:</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мярка 19 „Водено от общностите местно развитие“;</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подмярка 1.1 „Професионално обучение и придобиване на умения“;</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подмярка 16.1. „Подкрепа за сформиране и функциониране на оперативни групи в рамките на ЕПИ“;</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подмярка 16.4. „Подкрепа за хоризонтално и вертикално сътрудничество между участниците във веригата на доставки“</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3.4. Допълнение на Програмата с включване на текст на подмярка 4.3. „Подкрепа за инвестиции в инфраструктура, свързани с развитие, модернизация или адаптиране на земеделската и горска инфраструктура“;</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3.5. Отразяване на резултати от преразглеждането на размера на подпомагане по мерки 10 „Агроекология и климат“, 11 „Биологично земеделие“, 12 „Плащания по „Натура 2000“ и Рамковата директива за водите“ след анализ и оценка на промяна в практиките по чл. 43 от Регламент 1307/2013;</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3.6. Представяне на използвана методология при предефиниране на райони с природни ограничения, различни от планинските от мярка 13 „Плащания за райони с природни или други специфични ограничения“;</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3.7. Изменения в текста на мярка 14 „Хуманно отношение към животните“;</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3.8. Уравняване на финансовия план на ПРСР(2014-2020) по фокус-области;</w:t>
            </w:r>
          </w:p>
          <w:p w:rsidR="008D41E2" w:rsidRPr="00160A9C" w:rsidRDefault="008D41E2" w:rsidP="008D41E2">
            <w:pPr>
              <w:widowControl/>
              <w:spacing w:after="0" w:line="240" w:lineRule="auto"/>
              <w:jc w:val="both"/>
              <w:rPr>
                <w:lang w:val="en-US"/>
              </w:rPr>
            </w:pPr>
            <w:r w:rsidRPr="008D41E2">
              <w:rPr>
                <w:rFonts w:ascii="Times New Roman" w:eastAsia="Times New Roman" w:hAnsi="Times New Roman" w:cs="Times New Roman"/>
                <w:b/>
                <w:sz w:val="24"/>
                <w:szCs w:val="24"/>
                <w:lang w:eastAsia="bg-BG"/>
              </w:rPr>
              <w:t>3.9. Изменение в Глава 11„План на показателите“ от ПРСР (2014-2020), свързано с фокус област 6Б) „Стимулиране на местното развитие в селските райони“.</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за одобрение</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Докладва: Управляващ орган на ПРСР (2014-2020)</w:t>
            </w:r>
          </w:p>
        </w:tc>
      </w:tr>
      <w:tr w:rsidR="008D41E2" w:rsidRPr="008D41E2" w:rsidTr="008D41E2">
        <w:trPr>
          <w:trHeight w:val="302"/>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lastRenderedPageBreak/>
              <w:t>12:30 – 13:30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Обяд</w:t>
            </w:r>
          </w:p>
        </w:tc>
      </w:tr>
      <w:tr w:rsidR="008D41E2" w:rsidRPr="008D41E2" w:rsidTr="008D41E2">
        <w:trPr>
          <w:trHeight w:val="302"/>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13:30 - 14:00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160A9C" w:rsidRDefault="008D41E2" w:rsidP="008D41E2">
            <w:pPr>
              <w:widowControl/>
              <w:spacing w:after="0" w:line="240" w:lineRule="auto"/>
              <w:jc w:val="both"/>
              <w:rPr>
                <w:lang w:val="en-US"/>
              </w:rPr>
            </w:pPr>
            <w:r w:rsidRPr="008D41E2">
              <w:rPr>
                <w:rFonts w:ascii="Times New Roman" w:eastAsia="Times New Roman" w:hAnsi="Times New Roman" w:cs="Times New Roman"/>
                <w:b/>
                <w:sz w:val="24"/>
                <w:szCs w:val="24"/>
                <w:lang w:eastAsia="bg-BG"/>
              </w:rPr>
              <w:t>т. 4. Предложение на УО за критерии за подбор на проектни предложения по подмярка 1.1 „Професионално обучение и придобиване на умения“;</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за одобрение</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Докладва: Управляващ орган на ПРСР (2014-2020)</w:t>
            </w:r>
          </w:p>
        </w:tc>
      </w:tr>
      <w:tr w:rsidR="008D41E2" w:rsidRPr="008D41E2" w:rsidTr="008D41E2">
        <w:trPr>
          <w:trHeight w:val="686"/>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14:00 - 14:30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т. 5. Информация за напредъка на ПРСР (2014-2020) - напредък по обработката на заявленията, постигане на междинните цели, докладване нивото на грешки, информация за резултатите от одита и мерките, които са предприети и предстои да бъдат изпълнени във връзка с биологичното земеделие.</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160A9C" w:rsidRDefault="008D41E2" w:rsidP="008D41E2">
            <w:pPr>
              <w:widowControl/>
              <w:spacing w:after="0" w:line="240" w:lineRule="auto"/>
              <w:jc w:val="both"/>
              <w:rPr>
                <w:lang w:val="en-US"/>
              </w:rPr>
            </w:pPr>
            <w:r w:rsidRPr="008D41E2">
              <w:rPr>
                <w:rFonts w:ascii="Times New Roman" w:eastAsia="Times New Roman" w:hAnsi="Times New Roman" w:cs="Times New Roman"/>
                <w:b/>
                <w:sz w:val="24"/>
                <w:szCs w:val="24"/>
                <w:lang w:eastAsia="bg-BG"/>
              </w:rPr>
              <w:t>т. 5.1.Текущ отчет за изпълнението на стратегиите за ВОМР.</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за информация</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lastRenderedPageBreak/>
              <w:t xml:space="preserve">Докладват: Държавен фонд „Земеделие“- РА  </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 xml:space="preserve">                     Управляващ орган на ПРСР (2014-2020)</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tc>
      </w:tr>
      <w:tr w:rsidR="008D41E2" w:rsidRPr="008D41E2" w:rsidTr="008D41E2">
        <w:trPr>
          <w:trHeight w:val="686"/>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lastRenderedPageBreak/>
              <w:t>14:30-15:30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160A9C" w:rsidRDefault="008D41E2" w:rsidP="008D41E2">
            <w:pPr>
              <w:widowControl/>
              <w:spacing w:after="0" w:line="240" w:lineRule="auto"/>
              <w:jc w:val="both"/>
              <w:rPr>
                <w:lang w:val="en-US"/>
              </w:rPr>
            </w:pPr>
            <w:r w:rsidRPr="008D41E2">
              <w:rPr>
                <w:rFonts w:ascii="Times New Roman" w:eastAsia="Times New Roman" w:hAnsi="Times New Roman" w:cs="Times New Roman"/>
                <w:b/>
                <w:sz w:val="24"/>
                <w:szCs w:val="24"/>
                <w:lang w:eastAsia="bg-BG"/>
              </w:rPr>
              <w:t>т. 6. Предложение на УО на ПРСР (2014-2020) за разглеждане на Индикативната годишна работна програма</w:t>
            </w:r>
            <w:r w:rsidRPr="008D41E2">
              <w:rPr>
                <w:rFonts w:ascii="Times New Roman" w:eastAsia="Times New Roman" w:hAnsi="Times New Roman" w:cs="Times New Roman"/>
                <w:b/>
                <w:sz w:val="24"/>
                <w:szCs w:val="24"/>
                <w:lang w:val="en-US" w:eastAsia="bg-BG"/>
              </w:rPr>
              <w:t xml:space="preserve"> </w:t>
            </w:r>
            <w:r w:rsidRPr="008D41E2">
              <w:rPr>
                <w:rFonts w:ascii="Times New Roman" w:eastAsia="Times New Roman" w:hAnsi="Times New Roman" w:cs="Times New Roman"/>
                <w:b/>
                <w:sz w:val="24"/>
                <w:szCs w:val="24"/>
                <w:lang w:eastAsia="bg-BG"/>
              </w:rPr>
              <w:t>на ПРСР за 2019 г.</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за съгласуване</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Докладва: Управляващ орган на ПРСР (2014-2020)</w:t>
            </w:r>
          </w:p>
        </w:tc>
      </w:tr>
      <w:tr w:rsidR="008D41E2" w:rsidRPr="008D41E2" w:rsidTr="008D41E2">
        <w:trPr>
          <w:trHeight w:val="686"/>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15:30 – 16:00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160A9C" w:rsidRDefault="008D41E2" w:rsidP="008D41E2">
            <w:pPr>
              <w:widowControl/>
              <w:spacing w:after="0" w:line="240" w:lineRule="auto"/>
              <w:jc w:val="both"/>
              <w:rPr>
                <w:lang w:val="en-US"/>
              </w:rPr>
            </w:pPr>
            <w:r w:rsidRPr="008D41E2">
              <w:rPr>
                <w:rFonts w:ascii="Times New Roman" w:eastAsia="Times New Roman" w:hAnsi="Times New Roman" w:cs="Times New Roman"/>
                <w:b/>
                <w:sz w:val="24"/>
                <w:szCs w:val="24"/>
                <w:lang w:eastAsia="bg-BG"/>
              </w:rPr>
              <w:t>т. 7. Представяне на доклад за предварителната оценка на финансовите инструменти.</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за информация</w:t>
            </w:r>
          </w:p>
        </w:tc>
      </w:tr>
      <w:tr w:rsidR="008D41E2" w:rsidRPr="008D41E2" w:rsidTr="008D41E2">
        <w:trPr>
          <w:trHeight w:val="1270"/>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16:00 - 16:30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160A9C" w:rsidRDefault="008D41E2" w:rsidP="008D41E2">
            <w:pPr>
              <w:widowControl/>
              <w:spacing w:after="0" w:line="240" w:lineRule="auto"/>
              <w:jc w:val="both"/>
              <w:rPr>
                <w:lang w:val="en-US"/>
              </w:rPr>
            </w:pPr>
            <w:r w:rsidRPr="008D41E2">
              <w:rPr>
                <w:rFonts w:ascii="Times New Roman" w:eastAsia="Times New Roman" w:hAnsi="Times New Roman" w:cs="Times New Roman"/>
                <w:b/>
                <w:sz w:val="24"/>
                <w:szCs w:val="24"/>
                <w:lang w:eastAsia="bg-BG"/>
              </w:rPr>
              <w:t>т. 8. Представяне на доклад на Националната служба за съвети в земеделието.</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за информация</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i/>
                <w:sz w:val="24"/>
                <w:szCs w:val="24"/>
                <w:lang w:eastAsia="bg-BG"/>
              </w:rPr>
              <w:t>Докладва: НССЗ</w:t>
            </w:r>
          </w:p>
        </w:tc>
      </w:tr>
      <w:tr w:rsidR="008D41E2" w:rsidRPr="008D41E2" w:rsidTr="008D41E2">
        <w:trPr>
          <w:trHeight w:val="511"/>
        </w:trPr>
        <w:tc>
          <w:tcPr>
            <w:tcW w:w="1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16:30</w:t>
            </w:r>
          </w:p>
        </w:tc>
        <w:tc>
          <w:tcPr>
            <w:tcW w:w="84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D41E2" w:rsidRPr="00160A9C" w:rsidRDefault="008D41E2" w:rsidP="008D41E2">
            <w:pPr>
              <w:widowControl/>
              <w:spacing w:after="0" w:line="240" w:lineRule="auto"/>
              <w:jc w:val="both"/>
              <w:rPr>
                <w:lang w:val="en-US"/>
              </w:rPr>
            </w:pPr>
            <w:r w:rsidRPr="008D41E2">
              <w:rPr>
                <w:rFonts w:ascii="Times New Roman" w:eastAsia="Times New Roman" w:hAnsi="Times New Roman" w:cs="Times New Roman"/>
                <w:b/>
                <w:sz w:val="24"/>
                <w:szCs w:val="24"/>
                <w:lang w:eastAsia="bg-BG"/>
              </w:rPr>
              <w:t>т. 9.  Други: Информация за Националната селска мрежа.</w:t>
            </w:r>
          </w:p>
          <w:p w:rsidR="008D41E2" w:rsidRPr="00160A9C" w:rsidRDefault="008D41E2" w:rsidP="008D41E2">
            <w:pPr>
              <w:widowControl/>
              <w:spacing w:after="0" w:line="240" w:lineRule="auto"/>
              <w:jc w:val="both"/>
              <w:rPr>
                <w:lang w:val="en-US"/>
              </w:rPr>
            </w:pPr>
            <w:r w:rsidRPr="008D41E2">
              <w:rPr>
                <w:rFonts w:ascii="Times New Roman" w:eastAsia="Times New Roman" w:hAnsi="Times New Roman" w:cs="Times New Roman"/>
                <w:i/>
                <w:sz w:val="24"/>
                <w:szCs w:val="24"/>
                <w:lang w:eastAsia="bg-BG"/>
              </w:rPr>
              <w:t>за информация</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Закриване на заседанието</w:t>
            </w:r>
          </w:p>
        </w:tc>
      </w:tr>
    </w:tbl>
    <w:p w:rsidR="008D41E2" w:rsidRPr="008D41E2" w:rsidRDefault="008D41E2" w:rsidP="008D41E2">
      <w:pPr>
        <w:widowControl/>
        <w:spacing w:after="0"/>
        <w:jc w:val="both"/>
        <w:rPr>
          <w:rFonts w:ascii="Times New Roman" w:eastAsia="Times New Roman" w:hAnsi="Times New Roman" w:cs="Times New Roman"/>
          <w:b/>
          <w:sz w:val="24"/>
          <w:szCs w:val="24"/>
          <w:lang w:eastAsia="bg-BG"/>
        </w:rPr>
      </w:pPr>
    </w:p>
    <w:p w:rsidR="008D41E2" w:rsidRDefault="008D41E2" w:rsidP="008D41E2">
      <w:pPr>
        <w:widowControl/>
        <w:spacing w:after="0"/>
        <w:jc w:val="both"/>
        <w:rPr>
          <w:rFonts w:ascii="Times New Roman" w:eastAsia="Times New Roman" w:hAnsi="Times New Roman" w:cs="Times New Roman"/>
          <w:b/>
          <w:sz w:val="24"/>
          <w:szCs w:val="24"/>
          <w:lang w:val="en-US" w:eastAsia="bg-BG"/>
        </w:rPr>
      </w:pPr>
      <w:r w:rsidRPr="008D41E2">
        <w:rPr>
          <w:rFonts w:ascii="Times New Roman" w:eastAsia="Times New Roman" w:hAnsi="Times New Roman" w:cs="Times New Roman"/>
          <w:b/>
          <w:sz w:val="24"/>
          <w:szCs w:val="24"/>
          <w:lang w:eastAsia="bg-BG"/>
        </w:rPr>
        <w:t>Единадесетото заседание на Комитета за наблюдение (КН) на Програма за развитие на селските райони (ПРСР) (2014 – 2020г.) се проведе в София на 11.12.2018г., в хотел „Рамада“, гр. София, бул. „Княгиня Мария-Луиза“ № 131.</w:t>
      </w:r>
    </w:p>
    <w:p w:rsidR="008D41E2" w:rsidRDefault="008D41E2" w:rsidP="008D41E2">
      <w:pPr>
        <w:widowControl/>
        <w:spacing w:after="0"/>
        <w:jc w:val="both"/>
        <w:rPr>
          <w:rFonts w:ascii="Times New Roman" w:eastAsia="Times New Roman" w:hAnsi="Times New Roman" w:cs="Times New Roman"/>
          <w:b/>
          <w:sz w:val="24"/>
          <w:szCs w:val="24"/>
          <w:lang w:val="en-US" w:eastAsia="bg-BG"/>
        </w:rPr>
      </w:pPr>
    </w:p>
    <w:p w:rsidR="008D41E2" w:rsidRDefault="008D41E2" w:rsidP="008D41E2">
      <w:pPr>
        <w:pStyle w:val="Standard"/>
        <w:spacing w:after="120" w:line="276" w:lineRule="auto"/>
        <w:jc w:val="both"/>
      </w:pPr>
      <w:r w:rsidRPr="009B72D2">
        <w:t xml:space="preserve">Предлаганите </w:t>
      </w:r>
      <w:r>
        <w:t xml:space="preserve">от УО </w:t>
      </w:r>
      <w:r w:rsidRPr="009B72D2">
        <w:t>промени по т. 3.1. и т.3.3  от дневния ред са дадени като Приложение № 1 към настоящия протокол</w:t>
      </w:r>
      <w:r>
        <w:t>.</w:t>
      </w:r>
    </w:p>
    <w:p w:rsidR="008D41E2" w:rsidRPr="009B72D2" w:rsidRDefault="008D41E2" w:rsidP="008D41E2">
      <w:pPr>
        <w:pStyle w:val="Standard"/>
        <w:spacing w:after="120" w:line="276" w:lineRule="auto"/>
        <w:jc w:val="both"/>
      </w:pPr>
      <w:r w:rsidRPr="009B72D2">
        <w:t xml:space="preserve">Предлаганите </w:t>
      </w:r>
      <w:r>
        <w:t xml:space="preserve">от УО </w:t>
      </w:r>
      <w:r w:rsidRPr="009B72D2">
        <w:t>промени по т. 3</w:t>
      </w:r>
      <w:r>
        <w:t>.2. и т.3.3</w:t>
      </w:r>
      <w:r w:rsidRPr="009B72D2">
        <w:t xml:space="preserve"> от дневния р</w:t>
      </w:r>
      <w:r>
        <w:t>ед са дадени като Приложение № 2</w:t>
      </w:r>
      <w:r w:rsidRPr="009B72D2">
        <w:t xml:space="preserve"> към настоящия протокол.</w:t>
      </w:r>
    </w:p>
    <w:p w:rsidR="008D41E2" w:rsidRDefault="008D41E2" w:rsidP="008D41E2">
      <w:pPr>
        <w:pStyle w:val="Standard"/>
        <w:spacing w:after="120" w:line="276" w:lineRule="auto"/>
        <w:jc w:val="both"/>
      </w:pPr>
      <w:r>
        <w:t>Текстът на подмярка 4.3. „Подкрепа за инвестиции в инфраструктура, свързани с развитие, модернизация или адаптиране на земеделската и горска инфраструктура“ е даден в Приложение № 3 към настоящия протокол.</w:t>
      </w:r>
    </w:p>
    <w:p w:rsidR="008D41E2" w:rsidRDefault="008D41E2" w:rsidP="008D41E2">
      <w:pPr>
        <w:pStyle w:val="Standard"/>
        <w:spacing w:after="120" w:line="276" w:lineRule="auto"/>
        <w:jc w:val="both"/>
      </w:pPr>
      <w:r>
        <w:t xml:space="preserve">Предлаганите </w:t>
      </w:r>
      <w:r w:rsidRPr="009B72D2">
        <w:t xml:space="preserve">от УО </w:t>
      </w:r>
      <w:r>
        <w:t>промени по т. 3.5</w:t>
      </w:r>
      <w:r w:rsidRPr="009B72D2">
        <w:t xml:space="preserve"> от дневния ред са даде</w:t>
      </w:r>
      <w:r>
        <w:t>ни като Приложение № 4</w:t>
      </w:r>
      <w:r w:rsidRPr="009B72D2">
        <w:t xml:space="preserve"> към настоящия протокол.</w:t>
      </w:r>
    </w:p>
    <w:p w:rsidR="008D41E2" w:rsidRDefault="008D41E2" w:rsidP="008D41E2">
      <w:pPr>
        <w:pStyle w:val="Standard"/>
        <w:spacing w:after="120" w:line="276" w:lineRule="auto"/>
        <w:jc w:val="both"/>
      </w:pPr>
      <w:r>
        <w:t xml:space="preserve">Предлаганите </w:t>
      </w:r>
      <w:r w:rsidRPr="009B72D2">
        <w:t xml:space="preserve">от УО </w:t>
      </w:r>
      <w:r>
        <w:t>промени по т. 3.6</w:t>
      </w:r>
      <w:r w:rsidRPr="009B72D2">
        <w:t xml:space="preserve"> от дневния р</w:t>
      </w:r>
      <w:r>
        <w:t>ед са дадени като Приложение № 5</w:t>
      </w:r>
      <w:r w:rsidRPr="009B72D2">
        <w:t xml:space="preserve"> към настоящия протокол.</w:t>
      </w:r>
    </w:p>
    <w:p w:rsidR="008D41E2" w:rsidRDefault="008D41E2" w:rsidP="008D41E2">
      <w:pPr>
        <w:pStyle w:val="Standard"/>
        <w:spacing w:after="120" w:line="276" w:lineRule="auto"/>
        <w:jc w:val="both"/>
      </w:pPr>
      <w:r>
        <w:t xml:space="preserve">Предлаганите </w:t>
      </w:r>
      <w:r w:rsidRPr="009B72D2">
        <w:t xml:space="preserve">от УО </w:t>
      </w:r>
      <w:r>
        <w:t>промени по т. 3.7</w:t>
      </w:r>
      <w:r w:rsidRPr="009B72D2">
        <w:t xml:space="preserve"> от дневния р</w:t>
      </w:r>
      <w:r>
        <w:t>ед са дадени като Приложение № 6</w:t>
      </w:r>
      <w:r w:rsidRPr="009B72D2">
        <w:t xml:space="preserve"> към настоящия протокол.</w:t>
      </w:r>
    </w:p>
    <w:p w:rsidR="008D41E2" w:rsidRDefault="008D41E2" w:rsidP="008D41E2">
      <w:pPr>
        <w:pStyle w:val="Standard"/>
        <w:spacing w:after="120" w:line="276" w:lineRule="auto"/>
        <w:jc w:val="both"/>
      </w:pPr>
      <w:r w:rsidRPr="009B72D2">
        <w:t>Предлаганите от УО промени по т.</w:t>
      </w:r>
      <w:r>
        <w:t xml:space="preserve"> 3.8</w:t>
      </w:r>
      <w:r w:rsidRPr="009B72D2">
        <w:t xml:space="preserve"> от дневния р</w:t>
      </w:r>
      <w:r>
        <w:t>ед са дадени като Приложение № 7</w:t>
      </w:r>
      <w:r w:rsidRPr="009B72D2">
        <w:t xml:space="preserve"> към настоящия протокол.</w:t>
      </w:r>
    </w:p>
    <w:p w:rsidR="008D41E2" w:rsidRPr="009856DA" w:rsidRDefault="008D41E2" w:rsidP="008D41E2">
      <w:pPr>
        <w:pStyle w:val="Standard"/>
        <w:spacing w:after="120" w:line="276" w:lineRule="auto"/>
        <w:jc w:val="both"/>
      </w:pPr>
      <w:r>
        <w:t xml:space="preserve">Предлаганите </w:t>
      </w:r>
      <w:r w:rsidRPr="009B72D2">
        <w:t xml:space="preserve">от УО </w:t>
      </w:r>
      <w:r>
        <w:t xml:space="preserve">промени по т. 3.9 </w:t>
      </w:r>
      <w:r w:rsidRPr="009B72D2">
        <w:t xml:space="preserve"> от дневния р</w:t>
      </w:r>
      <w:r>
        <w:t>ед са дадени като Приложение № 8</w:t>
      </w:r>
      <w:r w:rsidRPr="009B72D2">
        <w:t xml:space="preserve"> към настоящия протокол.</w:t>
      </w:r>
    </w:p>
    <w:p w:rsidR="008D41E2" w:rsidRDefault="008D41E2" w:rsidP="008D41E2">
      <w:pPr>
        <w:pStyle w:val="Standard"/>
        <w:spacing w:after="120"/>
        <w:jc w:val="both"/>
      </w:pPr>
      <w:r>
        <w:t>Критерии за подбор на проектни предложения по подмярка 1.1 „Професионално обучение и придобиване на умения“ са дадени в Приложение № 9 към настоящия протокол.</w:t>
      </w:r>
    </w:p>
    <w:p w:rsidR="008D41E2" w:rsidRDefault="008D41E2" w:rsidP="008D41E2">
      <w:pPr>
        <w:pStyle w:val="Standard"/>
        <w:spacing w:after="120"/>
        <w:jc w:val="both"/>
      </w:pPr>
      <w:r>
        <w:t>Индикативната годишна работна програма на ПРСР за 2019 г. е дадена в Приложение № 10 към настоящия протокол.</w:t>
      </w:r>
    </w:p>
    <w:p w:rsidR="008D41E2" w:rsidRPr="008D41E2" w:rsidRDefault="008D41E2" w:rsidP="008D41E2">
      <w:pPr>
        <w:pStyle w:val="Standard"/>
        <w:spacing w:after="120"/>
        <w:jc w:val="both"/>
        <w:rPr>
          <w:lang w:val="en-US"/>
        </w:rPr>
      </w:pPr>
      <w:r>
        <w:t>Списъкът на участниците в 11-тото заседание на Комитета по наблюдение на ПРСР (2014-2020) е даден като Приложение № 11 към настоящия протокол.</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lastRenderedPageBreak/>
        <w:t>В заседанието участваха:</w:t>
      </w:r>
      <w:r w:rsidRPr="008D41E2">
        <w:rPr>
          <w:rFonts w:ascii="Times New Roman" w:eastAsia="Times New Roman" w:hAnsi="Times New Roman" w:cs="Times New Roman"/>
          <w:sz w:val="24"/>
          <w:szCs w:val="24"/>
          <w:lang w:eastAsia="bg-BG"/>
        </w:rPr>
        <w:t xml:space="preserve"> членове на КН на ПРСР с право на глас, наблюдатели с право на съвещателен глас, г-н Майкъл Пилке и г-жа Елица Живкова от Генерална дирекция „Земеделие и развитие на селските райони“ на Европейската комисия и други участници.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u w:val="single"/>
          <w:lang w:eastAsia="bg-BG"/>
        </w:rPr>
        <w:t>ТОЧКА 1-ва ОТ ДНЕВНИЯ РЕД</w:t>
      </w:r>
      <w:r w:rsidRPr="008D41E2">
        <w:rPr>
          <w:rFonts w:ascii="Times New Roman" w:eastAsia="Times New Roman" w:hAnsi="Times New Roman" w:cs="Times New Roman"/>
          <w:b/>
          <w:sz w:val="24"/>
          <w:szCs w:val="24"/>
          <w:lang w:eastAsia="bg-BG"/>
        </w:rPr>
        <w:t>:</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i/>
          <w:sz w:val="24"/>
          <w:szCs w:val="24"/>
          <w:lang w:eastAsia="bg-BG"/>
        </w:rPr>
        <w:t>т. 1.  Откриване на заседанието на КН на ПРСР (2014-2020), приемане на дневния ред.</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Заседанието бе открито и се председателства от д-р Лозана Василева – заместник-министър на земеделието, храните и горите и председател на КН на ПРСР(2014-2020)</w:t>
      </w:r>
    </w:p>
    <w:p w:rsidR="008D41E2" w:rsidRPr="00160A9C" w:rsidRDefault="008D41E2" w:rsidP="008D41E2">
      <w:pPr>
        <w:widowControl/>
        <w:spacing w:after="0" w:line="240" w:lineRule="auto"/>
        <w:jc w:val="both"/>
        <w:rPr>
          <w:rFonts w:ascii="Times New Roman" w:eastAsia="Times New Roman" w:hAnsi="Times New Roman" w:cs="Times New Roman"/>
          <w:b/>
          <w:sz w:val="24"/>
          <w:szCs w:val="24"/>
          <w:lang w:val="en-US"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откри 11-тото заседание с приветствие към представителите на Генерална дирекция „Земеделие и развитие на селските райони” на Европейската комисия -   г-н Пилке и г-жа Живкова, и премина към „Приемане на дневния ред на заседанието” с предложението точка 6 от проекта на дневен ред „Информация за напредъка на ПРСР (2014-2020)” да бъде изтеглена по-напред и да стане точка 5, а съответно точка 5 да стане точка 6.  Д-р Василева информира за постъпилото предложение от представителите на ГД „Земеделие” в точката за Напредъка по програмата, в частта докладване на нивото на грешки да се представят резултатите от одита, свързан с биологичното земеделие, мерките, които са предприети и предстои да бъдат изпълнени, както и кратка информация за Националната селска мрежа в точка „Други”.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Д-р Василева представи и гостите в заседанието: г-н Божидар Иванов, ръководител на Института по аграрна икономика към Селскостопанска академия, който е участвал в изготвянето на анализа и оценката за наличие на риск от двойно финансиране в компенсаторните мерки и може да представи, ако се налага, допълнителна информация относно обосновката на използваната методология, и проф. Светла Русева, която е ръководител на Институт по почвознание, агротехнологии и защита на растенията „Никола Пушкаров”. Колектив от института е изготвил разработка „Прецизиране определянето на районите с природни или други специфични ограничения“.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Представен бе и г-н Самуил Шидеров, който е разработил предварителна оценка на финансовите инструменти, както и директорът на Националната служба за съвети по земеделието проф. Младен Младенов.</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Премина се към гласуване на така предложения дневен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Предложението бе прието с единодушие.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u w:val="single"/>
          <w:lang w:eastAsia="bg-BG"/>
        </w:rPr>
        <w:t>РЕШЕНИЕ ПО ТОЧКА ПЪРВА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r w:rsidRPr="008D41E2">
        <w:rPr>
          <w:rFonts w:ascii="Times New Roman" w:eastAsia="Times New Roman" w:hAnsi="Times New Roman" w:cs="Times New Roman"/>
          <w:b/>
          <w:sz w:val="24"/>
          <w:szCs w:val="24"/>
          <w:lang w:eastAsia="bg-BG"/>
        </w:rPr>
        <w:t>КН на ПРСР (2014-2020 одобрява предложения от УО на ПРСР проект за дневен ред на единадесетото заседание на Комитета за наблюдение с направените уточнения:</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размяна на местата на точка 5. „Предложение на УО на ПРСР (2014-2020) за разглеждане на Индикативната годишна работна програма на ПРСР за 2019 г., която става  точка 6, а точка 6  „Информация за напредъка на ПРСР (2014-2020)”  става  точка 5;</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r w:rsidRPr="008D41E2">
        <w:rPr>
          <w:rFonts w:ascii="Times New Roman" w:eastAsia="Times New Roman" w:hAnsi="Times New Roman" w:cs="Times New Roman"/>
          <w:b/>
          <w:sz w:val="24"/>
          <w:szCs w:val="24"/>
          <w:lang w:eastAsia="bg-BG"/>
        </w:rPr>
        <w:t xml:space="preserve">- представяне на информация за резултатите от одита и мерките, които се вземат, свързани с Биологичното земеделие в подточка „Докладване нивото на грешки“ в подточка „Докладване  нивото на грешки“ </w:t>
      </w:r>
    </w:p>
    <w:p w:rsidR="008D41E2" w:rsidRPr="008D41E2" w:rsidRDefault="008D41E2" w:rsidP="008D41E2">
      <w:pPr>
        <w:rPr>
          <w:rFonts w:ascii="Times New Roman" w:eastAsia="Times New Roman" w:hAnsi="Times New Roman" w:cs="Times New Roman"/>
          <w:b/>
          <w:sz w:val="24"/>
          <w:szCs w:val="24"/>
          <w:lang w:eastAsia="bg-BG"/>
        </w:rPr>
      </w:pPr>
      <w:r w:rsidRPr="008D41E2">
        <w:rPr>
          <w:rFonts w:ascii="Times New Roman" w:eastAsia="Times New Roman" w:hAnsi="Times New Roman" w:cs="Times New Roman"/>
          <w:b/>
          <w:sz w:val="24"/>
          <w:szCs w:val="24"/>
          <w:lang w:eastAsia="bg-BG"/>
        </w:rPr>
        <w:t xml:space="preserve">- представяне на информация за Националната селска мрежа в точка „Други”. </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уточни, че писмени становища по материалите от дневния ред са получени от Националното сдружение на общините в България и Централното координационно звено към Министерски съвет, а извън регламентирания срок от Министерството на околната среда и водите и от Асоциацията на индустриалния капитал в България. Конкретните становища ще бъдат дискутирани в съответната точка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b/>
          <w:sz w:val="24"/>
          <w:szCs w:val="24"/>
          <w:u w:val="single"/>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u w:val="single"/>
          <w:lang w:eastAsia="bg-BG"/>
        </w:rPr>
        <w:t>ТОЧКА 2-ра ОТ ДНЕВНИЯ РЕД:</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i/>
          <w:sz w:val="24"/>
          <w:szCs w:val="24"/>
          <w:lang w:eastAsia="bg-BG"/>
        </w:rPr>
        <w:t xml:space="preserve">т. 2. Приемане на протокола от 10-то заседание на КН на ПРСР (2014-2020), вкл. корекция на техническа грешка в уточняващ текст към критериите за подбор по подмярка 16.1 </w:t>
      </w:r>
      <w:r w:rsidRPr="008D41E2">
        <w:rPr>
          <w:rFonts w:ascii="Times New Roman" w:eastAsia="Times New Roman" w:hAnsi="Times New Roman" w:cs="Times New Roman"/>
          <w:b/>
          <w:i/>
          <w:sz w:val="24"/>
          <w:szCs w:val="24"/>
          <w:lang w:eastAsia="bg-BG"/>
        </w:rPr>
        <w:lastRenderedPageBreak/>
        <w:t>„Подкрепа за сформиране и функциониране на оперативни групи в рамките на ЕПИ за селскостопанска производителност и устойчивост“</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Д-р ЛОЗАНА ВАСИЛЕВА</w:t>
      </w:r>
      <w:r w:rsidRPr="008D41E2">
        <w:rPr>
          <w:rFonts w:ascii="Times New Roman" w:eastAsia="Times New Roman" w:hAnsi="Times New Roman" w:cs="Times New Roman"/>
          <w:sz w:val="24"/>
          <w:szCs w:val="24"/>
          <w:lang w:eastAsia="bg-BG"/>
        </w:rPr>
        <w:t xml:space="preserve"> даде думата на Секретариата на КН.</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Г-жа СНЕЖАНА ГРИГОРОВА, Дирекция „РСР”, МЗХГ, </w:t>
      </w:r>
      <w:r w:rsidRPr="008D41E2">
        <w:rPr>
          <w:rFonts w:ascii="Times New Roman" w:eastAsia="Times New Roman" w:hAnsi="Times New Roman" w:cs="Times New Roman"/>
          <w:sz w:val="24"/>
          <w:szCs w:val="24"/>
          <w:lang w:eastAsia="bg-BG"/>
        </w:rPr>
        <w:t>представи кратка информация за процедурата по съгласуване на протокола от 10-то заседание на КН на ПРСР. Тя посочи, че в уточняващия текст по подмярка 16.1. на стр. 58 е коригирана техническа грешка. В материалите за заседанието е приложена обяснителна бележка за направената корекция. Окончателният вариант, с отразената корекция, е изпратен на членовете на КН на 26.11.2018 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Премина се към гласуване на протокола от 10-тото заседание на КН на ПРСР, който бе приет с мнозинство.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u w:val="single"/>
          <w:lang w:eastAsia="bg-BG"/>
        </w:rPr>
        <w:t>РЕШЕНИЕ ПО ТОЧКА 2-ра от ДНЕВНИЯ РЕД:</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КН на ПРСР (2014-2020) одобрява окончателния вариант на протокола от 10-тото заседание на КН на ПРСР(2014-2020) с направената корекция.</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обяви следващата точка от дневния ред с предложенията на УО за пето изменение  и допълнение на ПРСР 2014-2020г.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u w:val="single"/>
          <w:lang w:eastAsia="bg-BG"/>
        </w:rPr>
        <w:t>ТОЧКА 3-та ОТ ДНЕВНИЯ РЕД:</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i/>
          <w:sz w:val="24"/>
          <w:szCs w:val="24"/>
          <w:lang w:eastAsia="bg-BG"/>
        </w:rPr>
        <w:t>т. 3. Предложения на Управляващия орган (УО) на ПРСР (2014-2020) за изменение и допълнение на Програмата за развитие на селските райони (2014-2020)</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i/>
          <w:sz w:val="24"/>
          <w:szCs w:val="24"/>
          <w:u w:val="single"/>
          <w:lang w:eastAsia="bg-BG"/>
        </w:rPr>
        <w:t>3.1.Промени в текста на мярка 1 „Трансфер на знания и действия за осведомяване“</w:t>
      </w:r>
    </w:p>
    <w:p w:rsidR="008D41E2" w:rsidRPr="008D41E2" w:rsidRDefault="008D41E2" w:rsidP="008D41E2">
      <w:pPr>
        <w:widowControl/>
        <w:spacing w:after="0" w:line="240" w:lineRule="auto"/>
        <w:jc w:val="both"/>
        <w:rPr>
          <w:rFonts w:ascii="Times New Roman" w:eastAsia="Times New Roman" w:hAnsi="Times New Roman" w:cs="Times New Roman"/>
          <w:i/>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Д-р ЛОЗАНА ВАСИЛЕВА</w:t>
      </w:r>
      <w:r w:rsidRPr="008D41E2">
        <w:rPr>
          <w:rFonts w:ascii="Times New Roman" w:eastAsia="Times New Roman" w:hAnsi="Times New Roman" w:cs="Times New Roman"/>
          <w:sz w:val="24"/>
          <w:szCs w:val="24"/>
          <w:lang w:eastAsia="bg-BG"/>
        </w:rPr>
        <w:t xml:space="preserve"> даде думата на г-н Владислав Цветанов, началник на отдел „Частни мерки”, МЗХГ да  представи промените в текста на мярка 1.</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Г-н ВЛАДИСЛАВ ЦВЕТАНОВ началник на отдел „Частни мерки”, МЗХГ</w:t>
      </w:r>
      <w:r w:rsidRPr="008D41E2">
        <w:rPr>
          <w:rFonts w:ascii="Times New Roman" w:eastAsia="Times New Roman" w:hAnsi="Times New Roman" w:cs="Times New Roman"/>
          <w:sz w:val="24"/>
          <w:szCs w:val="24"/>
          <w:lang w:eastAsia="bg-BG"/>
        </w:rPr>
        <w:t xml:space="preserve"> уточни, че по отношение на подмярка 1.1. има два елемента, които се предвижда да бъдат включени в петото изменение на ПРСР. Първият е отпадане на механизма на ваучерите, с мотива, че издаването на ваучери ще отнеме допълнително време и ресурс, а целта е стартиране на подмярката през 2019 г. Вторият елемент е свързан с промяна в така наречените „стойности на опростените разходи” чрез разработването на мерки и актуализация на методиката за тяхното определяне, който ще бъде разгледан в следваща подточка.</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 коментари  и уточни, че всички предложения по 3-та точка ще се гласуват анблок накрая и обяви подточка 3.2.</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i/>
          <w:sz w:val="24"/>
          <w:szCs w:val="24"/>
          <w:lang w:eastAsia="bg-BG"/>
        </w:rPr>
        <w:t>Подточка 3.2. Промяна в текста на подмярка 16.1</w:t>
      </w:r>
      <w:r w:rsidRPr="008D41E2">
        <w:rPr>
          <w:rFonts w:ascii="Times New Roman" w:eastAsia="Times New Roman" w:hAnsi="Times New Roman" w:cs="Times New Roman"/>
          <w:b/>
          <w:i/>
          <w:sz w:val="24"/>
          <w:szCs w:val="24"/>
          <w:lang w:val="en-US" w:eastAsia="bg-BG"/>
        </w:rPr>
        <w:t xml:space="preserve"> </w:t>
      </w:r>
      <w:r w:rsidRPr="008D41E2">
        <w:rPr>
          <w:rFonts w:ascii="Times New Roman" w:eastAsia="Times New Roman" w:hAnsi="Times New Roman" w:cs="Times New Roman"/>
          <w:b/>
          <w:i/>
          <w:sz w:val="24"/>
          <w:szCs w:val="24"/>
          <w:lang w:eastAsia="bg-BG"/>
        </w:rPr>
        <w:t>„Подкрепа за сформиране и функциониране на оперативни групи в рамките на ЕПИ за селскостопанска производителност и устойчивост“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г-н Цветанов да представи предложението.</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Г-н ВЛАДИСЛАВ ЦВЕТАНОВ </w:t>
      </w:r>
      <w:r w:rsidRPr="008D41E2">
        <w:rPr>
          <w:rFonts w:ascii="Times New Roman" w:eastAsia="Times New Roman" w:hAnsi="Times New Roman" w:cs="Times New Roman"/>
          <w:sz w:val="24"/>
          <w:szCs w:val="24"/>
          <w:lang w:eastAsia="bg-BG"/>
        </w:rPr>
        <w:t>уточни, че по отношение на текста на подмярка 16.1. предложението е за намаляване на максималния размер на стойността на едно проектно предложение от 1 млн.евро на 450 хил. евро. Той допълни, че предложението от страна на Управляващия орган е продиктувано от факта, че се извърши допълнително проучване по отношение на прилагането на подмярката в другите страни-членки, които вече финансират оперативни групи. Предложеният максимален интензитет от 450 хил.евро в оптимална степен отговаря на европейските практики и на максималният срок за изпълнение на проект по оперативна група.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lastRenderedPageBreak/>
        <w:t>Г-н Цветанов допълни, че вторият аспект на изменението е свързан с опростените разходи в подмярка 16.1. той посочи, че ще се предложи актуализация на допустимите опростени разходи в съответствие с разработена нова методика за тяхното получаване.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 коментари</w:t>
      </w:r>
      <w:r w:rsidRPr="008D41E2">
        <w:rPr>
          <w:rFonts w:ascii="Times New Roman" w:eastAsia="Times New Roman" w:hAnsi="Times New Roman" w:cs="Times New Roman"/>
          <w:b/>
          <w:sz w:val="24"/>
          <w:szCs w:val="24"/>
          <w:lang w:eastAsia="bg-BG"/>
        </w:rPr>
        <w:t>.</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Г-н ИЛИЯ ПРОДАНОВ от Националната асоциация на зърнопроизводителите</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sz w:val="24"/>
          <w:szCs w:val="24"/>
          <w:lang w:eastAsia="bg-BG"/>
        </w:rPr>
        <w:t xml:space="preserve">зачете текста на предложението, подадено от тях извън срока: </w:t>
      </w:r>
      <w:r w:rsidRPr="008D41E2">
        <w:rPr>
          <w:rFonts w:ascii="Times New Roman" w:eastAsia="Times New Roman" w:hAnsi="Times New Roman" w:cs="Times New Roman"/>
          <w:i/>
          <w:sz w:val="24"/>
          <w:szCs w:val="24"/>
          <w:lang w:eastAsia="bg-BG"/>
        </w:rPr>
        <w:t>„За подпомагане и организиране на курсове и семинари могат да кандидатстват висши училища, професионални гимназии и центрове за професионално обучение, както и национално представителни земеделски асоциации и съюзи, регистрирани по реда и Закона за юридическите лица с нестопанска цел  (ЗЮЛНЦ) и Закона за кооперациите”.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sz w:val="24"/>
          <w:szCs w:val="24"/>
          <w:lang w:eastAsia="bg-BG"/>
        </w:rPr>
        <w:t xml:space="preserve">Г-н Проданов уточни, че второто предложение е свързано с условията за допустимост </w:t>
      </w:r>
      <w:r w:rsidRPr="008D41E2">
        <w:rPr>
          <w:rFonts w:ascii="Times New Roman" w:eastAsia="Times New Roman" w:hAnsi="Times New Roman" w:cs="Times New Roman"/>
          <w:i/>
          <w:sz w:val="24"/>
          <w:szCs w:val="24"/>
          <w:lang w:eastAsia="bg-BG"/>
        </w:rPr>
        <w:t>„За провеждане на курсове за обучение и за семинари организациите трябва да отговарят на едно от следните изисквания: да са национално представителни земеделски асоциации и съюзи, регистрирани по ЗЮЛНЦ и Закона за кооперациите. За целите на ПРСР, национално представителна земеделска кооперация или съюз е организация, в която членуват не по-малко от 7 областни структури отделно регистрирани по реда на ЗЮЛНЦ и Закона за кооперациите. Национално представителните земеделски организации и съюзи могат да осъществяват дейностите по подмярката, ако отговарят пряко на едно от посочените по-горе специфични условия за допустимост или, респективно, осъществяват тази дейност чрез организации, отговарящи на същите условия”.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Той уточни, че предложенията не са свързани с промяна на бенефициентите по тази мярка или структурите, които ще извършват обучението, а са с цел да се даде възможност на национално представителните браншови организации да извършват съвместна дейност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Г-н ВЛАДИСЛАВ ЦВЕТАНОВ </w:t>
      </w:r>
      <w:r w:rsidRPr="008D41E2">
        <w:rPr>
          <w:rFonts w:ascii="Times New Roman" w:eastAsia="Times New Roman" w:hAnsi="Times New Roman" w:cs="Times New Roman"/>
          <w:sz w:val="24"/>
          <w:szCs w:val="24"/>
          <w:lang w:eastAsia="bg-BG"/>
        </w:rPr>
        <w:t>направи уточнение, че предложението е разгледано, въпреки че е постъпило извън срока. Становището на УО е, че и към настоящия момент в текста на мярката съществува възможност за лица, регистрирани по Закона за професионалното образование и обучение да извършват такъв вид дейност под формата на Центрове за професионално обучение. Така че, ако тези условия са изпълнени за съответните лица, то би следвало те да са допустими кандидати по подмярка 1.1.</w:t>
      </w:r>
    </w:p>
    <w:p w:rsidR="008D41E2" w:rsidRPr="008D41E2" w:rsidRDefault="008D41E2" w:rsidP="008D41E2">
      <w:pPr>
        <w:widowControl/>
        <w:spacing w:after="0"/>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Г-н ЯВОР ГЕЧЕВ, Асоциация на индустриалния капитал в България, Национален съюз на земеделските кооперации</w:t>
      </w:r>
      <w:r w:rsidRPr="008D41E2">
        <w:rPr>
          <w:rFonts w:ascii="Times New Roman" w:eastAsia="Times New Roman" w:hAnsi="Times New Roman" w:cs="Times New Roman"/>
          <w:sz w:val="24"/>
          <w:szCs w:val="24"/>
          <w:lang w:eastAsia="bg-BG"/>
        </w:rPr>
        <w:t xml:space="preserve"> посочи, че от представената практика в западните страни става ясно, че асоциациите, които представляват земеделските производители, предоставят пряко услуги, без да е задължително да се регистрират като университет или като професионални центрове. За България подобна практика би улеснила МЗХГ, което не може да достигне до всеки един земеделски производител и тук е мястото на националните асоциации, които да предоставят услуги и експертизи по отношение на земеделските производители. Г-н Гечев коментира статута на Националният съюз на земеделските кооперации, който е  национален съюз по силата на специализирания Закон за земеделските кооперации, тъй като в България все още няма закон за браншовите организации в земеделието.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повод на неподаденото в срока предложение на Асоциацията, г-н Гечев счита, че не са необходими допълнителни анализи, които няма да променят нито целевите групи, нито бенефициентите и предложи то да бъде гласувано на този КН, тъй като на следващия КН мярката ще бъде отворена и изчерпана.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благодари за коментара и изказа мнение, че промяната е съществена, в случая се предлага промяна в начина на прилагането, както и актуализация на опростените разходи. Според нея, тук се говори за нов бенефициент, има доста неща, които не са изяснени и към този етап, това предложение не може да се разгледа.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i/>
          <w:sz w:val="24"/>
          <w:szCs w:val="24"/>
          <w:lang w:eastAsia="bg-BG"/>
        </w:rPr>
        <w:lastRenderedPageBreak/>
        <w:t>Подточка 3.3. Промени в текста на ПРСР, свързани с изготвяне на методика за определяне на опростените разходи, които ще се прилагат по следните мерки: мярка 19 „Водено от общностите местно развитие“; подмярка 1.1 „Професионално обучение и придобиване на умения“; подмярка 16.1. „Подкрепа за сформиране и функциониране на оперативни групи в рамките на ЕПИ“; подмярка 16.4. „Подкрепа за хоризонтално и вертикално сътрудничество между участниците във веригата на доставки“</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Д-р ЛОЗАНА ВАСИЛЕВА</w:t>
      </w:r>
      <w:r w:rsidRPr="008D41E2">
        <w:rPr>
          <w:rFonts w:ascii="Times New Roman" w:eastAsia="Times New Roman" w:hAnsi="Times New Roman" w:cs="Times New Roman"/>
          <w:sz w:val="24"/>
          <w:szCs w:val="24"/>
          <w:lang w:eastAsia="bg-BG"/>
        </w:rPr>
        <w:t xml:space="preserve"> информира КН, че актуализацията на тези опростени разходи, съгласно указание на Европейската комисия за опростените варианти на разходи, които ще се прилагат по мярка 19, подмярка 1.1.,16.1 и 16.4., е разработена от колектив от експерти по договор, сключен между Министерството и УНСС. При разработката е използван подход, определен в Регламент 1303 от 2013г. за определяне на размера на опростения вариант на разходите, като отговарят на изискванията за коректен, справедлив и проверим метод на изчисление.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Д-р Василева даде думата на г-н Стефан Спасов да направи разяснение по темата и по-конкретно по мярка 19.</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Г-н СТЕФАН СПАСОВ, началник на отдел „ВОМР”, МЗХГ </w:t>
      </w:r>
      <w:r w:rsidRPr="008D41E2">
        <w:rPr>
          <w:rFonts w:ascii="Times New Roman" w:eastAsia="Times New Roman" w:hAnsi="Times New Roman" w:cs="Times New Roman"/>
          <w:sz w:val="24"/>
          <w:szCs w:val="24"/>
          <w:lang w:eastAsia="bg-BG"/>
        </w:rPr>
        <w:t>направи коментар по мярка 19 като посочи, че при изготвянето на ПРСР е създадена и методика за опростени варианти на разходите, при които извършените и разплатени дейности да бъдат отчитани с по-малък брой документи за да се намали административната тежест при прилагането на мярка 19, което важи и за всичките подмерки в мярката, с изключение на подмярка 19, прилагана за стратегии на ВОМР. Г-н Спасов отбеляза, че повече от една година, по мярката има одитна мисия от Европейската комисия, която е направила някои препоръки, които обхващат и прилагането на опростените разходи, поради което УО на ПРСР е предприел действия за изготвяне на нова методика за определяне на опростените разходи.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Спасов уточни, че основните причини за изготвяне на новите методики са препоръките на ЕК по опростените разходи и  определените стойности по предходната методика, която е базирана на изпълнени проекти в периода 2007-2013г., по-конкретно 2009, 2010, 2011г., докато настоящата методика се базира на актуални пазарни цени и някои от разходите, които са предвидени за опростени, са коригирани съгласно настоящите пазарни цени.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Във връзка с промяната в методиката и в опростените разходи, г-н Спасов посочи, че се налага промяна в ПРСР  за  мярка 19, точка „Методология за изчисляване на размера или процента на подпомагане, когато е уместно”, тъй като в тази точка е описана старата методика и изпълнителят, който я е изготвил. Целият текст трябва да се промени съгласно новата методика и да се добави новият изпълнител.</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Това са промените по мярка 19, които се предлагат на Комитета за наблюдение. Промени се налагат и за други текстове в програмата, които се отнасят за опростените разходи, като примерно в мярка 16, за която ще стане ясно по-късно.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г-н Цветанов да представи другите подмерки.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 </w:t>
      </w: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Г-н ВЛАДИСЛАВ ЦВЕТАНОВ </w:t>
      </w:r>
      <w:r w:rsidRPr="008D41E2">
        <w:rPr>
          <w:rFonts w:ascii="Times New Roman" w:eastAsia="Times New Roman" w:hAnsi="Times New Roman" w:cs="Times New Roman"/>
          <w:sz w:val="24"/>
          <w:szCs w:val="24"/>
          <w:lang w:eastAsia="bg-BG"/>
        </w:rPr>
        <w:t>информира, че опростени разходи са предвидени за прилагане и по подмерки 1.1., 16.1 и 16.4. от ПРСР, като за целта са извършени актуализация и изчисление на опростените разходи, които ще бъдат прилагани в тези подмерки. Той посочи, че различното от мярка 19 е, че по горните три подмерки до настоящия момент не е предоставена възможност за подпомагане, не са отваряни периоди на прием и това предстои да се случи, като допълни, че и данните, които са използвани при изработването за опростените разходи, са от момента на одобрение на ПРСР и преди този период, което налага актуализацията на допустимите разходи и техния размер по предстоящите периоди на прием.</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Г-н Цветанов поясни, че в методологията, която е използвана, е приложен методът на сравнителните анализи и в методиката са описани информационните източници, методът на </w:t>
      </w:r>
      <w:r w:rsidRPr="008D41E2">
        <w:rPr>
          <w:rFonts w:ascii="Times New Roman" w:eastAsia="Times New Roman" w:hAnsi="Times New Roman" w:cs="Times New Roman"/>
          <w:sz w:val="24"/>
          <w:szCs w:val="24"/>
          <w:lang w:eastAsia="bg-BG"/>
        </w:rPr>
        <w:lastRenderedPageBreak/>
        <w:t>изчисление на отделните компоненти, които влизат при изчисление на съответния опростен разход. По този начин са формирани опростени разходи за всеки един от курсовете и семинарите по подмярка 1.1. По отношение на подмярка 16 .1 и 16.4., по аналогия на мярка 19. Той обясни, че са предложени опростени разходи за всяка една от фазите, в които ще се прилага  всяка една подмярка и че тази методика е разработена от УНСС, възложена от страна на УО. Съответните промени ще бъдат отразени в текстовете на подмерките и в общите части, които са свързани с тази тема по ПРСР.</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предложи да се премине към следващата подточка 3.4. и даде думата на г-н Цветанов.</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i/>
          <w:sz w:val="24"/>
          <w:szCs w:val="24"/>
          <w:lang w:eastAsia="bg-BG"/>
        </w:rPr>
        <w:t>Подточка 3.4. Допълнение на Програмата с включване на текст на подмярка 4.3. „Подкрепа за инвестиции в инфраструктура, свързани с развитие, модернизация или адаптиране на земеделската и горска инфраструктура“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Г-н ВЛАДИСЛАВ ЦВЕТАНОВ </w:t>
      </w:r>
      <w:r w:rsidRPr="008D41E2">
        <w:rPr>
          <w:rFonts w:ascii="Times New Roman" w:eastAsia="Times New Roman" w:hAnsi="Times New Roman" w:cs="Times New Roman"/>
          <w:sz w:val="24"/>
          <w:szCs w:val="24"/>
          <w:lang w:eastAsia="bg-BG"/>
        </w:rPr>
        <w:t>информира присъстващите, че към материалите за заседанието на КН е представен текста на подмярка 4.3. с изготвени текстове по отделните компоненти в съответствие с образеца на ПРСР и фиша на подмярката. Той посочи, че подмярката  е насочена към инвестиции в инфраструктура за напояване извън земеделските стопанства. Подмярката не е включена в одобрения текст на ПРСР, което налага и разработването й като текст, който да бъде одобрен и на базата на който да бъде разработено и приложимото националното законодателство.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Философията на мярката, уточни г-н Цветанов,  е насочена към предизвикателствата във връзка с климатичните изменения и необходимостта от инвестиции в главна напоителна инфраструктура. Възможността за прилагане на тази мярка произтича и от наличието от 2017 г. на нови планове за управление на речните басейни, които определят един ключов елемент за подпомагане, а именно статуса на водните тела, които са свързани с тази инфраструктура.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отношение на бенефициентите, г-н Цветанов изрази предположение, че участниците в заседанието са видели какъв тип бенефициенти са определени в този първи драфт. Финансирането е до 100% по отношение на инвестиционните разходи. Той поясни, че това е работен вариант, с който ще стартира преговорния процес с ЕК за включване на тази подмярка като част от програмата, а в последствие предстои разработването на приложимо национално законодателство за прилагане на подмярката.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Цветанов уточни, че в приоритетите на подмярката са засегнати теми, които са дискутирани на предходни КН, по отношение на развитие на култури, които се отглеждат по поливен начин на места, където инфраструктурата е с по-ниско КПД и т.н.</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подкрепи казаното от г-н Цветанов, че това са първоначалните текстове на мярката и предстои дискусия с представителите на ЕК. Тя даде думата на г-н Явор Гечев за коментар.</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Г-н ЯВОР ГЕЧЕВ </w:t>
      </w:r>
      <w:r w:rsidRPr="008D41E2">
        <w:rPr>
          <w:rFonts w:ascii="Times New Roman" w:eastAsia="Times New Roman" w:hAnsi="Times New Roman" w:cs="Times New Roman"/>
          <w:sz w:val="24"/>
          <w:szCs w:val="24"/>
          <w:lang w:eastAsia="bg-BG"/>
        </w:rPr>
        <w:t>изрази комплименти към екипа за стартирането на  мярка 4.3., която в един или друг вариант е била в предишната програма, но тогава не е стартирала. Изключително важно е, според него, във връзка с изменението на климата да има ясна политика по напояването, за да може българското земеделие да се преструктурира.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sz w:val="24"/>
          <w:szCs w:val="24"/>
          <w:lang w:eastAsia="bg-BG"/>
        </w:rPr>
        <w:t xml:space="preserve">Г-н Гечев посочи, че предварително са предоставили техните анализи на около 30-40 страници по отношение на мярката и изказа благодарност за това, че голяма част от тях са отразени и предстои да представят препоръки по отношение на разработването на насоките за кандидатстване. Оцени мярката като много важна с очакването, че тя  ще стартира по-скоро, както е заложена в Индикативния график. Известно е, че ангажиментите по тази мярка са изключително много. Знае се, че  кандидатстването по  нея е трудно, тъй като е свързано със </w:t>
      </w:r>
      <w:r w:rsidRPr="008D41E2">
        <w:rPr>
          <w:rFonts w:ascii="Times New Roman" w:eastAsia="Times New Roman" w:hAnsi="Times New Roman" w:cs="Times New Roman"/>
          <w:sz w:val="24"/>
          <w:szCs w:val="24"/>
          <w:lang w:eastAsia="bg-BG"/>
        </w:rPr>
        <w:lastRenderedPageBreak/>
        <w:t xml:space="preserve">ЗУТ, с много разрешителни режими, но важното, посочи г-н Гечев, е тази мярка да тръгне в ПРСР </w:t>
      </w:r>
      <w:r w:rsidRPr="008D41E2">
        <w:rPr>
          <w:rFonts w:ascii="Times New Roman" w:eastAsia="Times New Roman" w:hAnsi="Times New Roman" w:cs="Times New Roman"/>
          <w:sz w:val="24"/>
          <w:szCs w:val="24"/>
          <w:lang w:val="en-US" w:eastAsia="bg-BG"/>
        </w:rPr>
        <w:t>(</w:t>
      </w:r>
      <w:r w:rsidRPr="008D41E2">
        <w:rPr>
          <w:rFonts w:ascii="Times New Roman" w:eastAsia="Times New Roman" w:hAnsi="Times New Roman" w:cs="Times New Roman"/>
          <w:sz w:val="24"/>
          <w:szCs w:val="24"/>
          <w:lang w:eastAsia="bg-BG"/>
        </w:rPr>
        <w:t>2014 -2020 г.</w:t>
      </w:r>
      <w:r w:rsidRPr="008D41E2">
        <w:rPr>
          <w:rFonts w:ascii="Times New Roman" w:eastAsia="Times New Roman" w:hAnsi="Times New Roman" w:cs="Times New Roman"/>
          <w:sz w:val="24"/>
          <w:szCs w:val="24"/>
          <w:lang w:val="en-US" w:eastAsia="bg-BG"/>
        </w:rPr>
        <w:t>)</w:t>
      </w:r>
      <w:r w:rsidRPr="008D41E2">
        <w:rPr>
          <w:rFonts w:ascii="Times New Roman" w:eastAsia="Times New Roman" w:hAnsi="Times New Roman" w:cs="Times New Roman"/>
          <w:sz w:val="24"/>
          <w:szCs w:val="24"/>
          <w:lang w:eastAsia="bg-BG"/>
        </w:rPr>
        <w:t xml:space="preserve"> с вече натрупан опит в прилагането на мярката.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г-н Пилке.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МАЙКЪЛ ПИЛКЕ, Генерална дирекция „Земеделие и развитие на селските райони“ на ЕК </w:t>
      </w:r>
      <w:r w:rsidRPr="008D41E2">
        <w:rPr>
          <w:rFonts w:ascii="Times New Roman" w:eastAsia="Times New Roman" w:hAnsi="Times New Roman" w:cs="Times New Roman"/>
          <w:sz w:val="24"/>
          <w:szCs w:val="24"/>
          <w:lang w:eastAsia="bg-BG"/>
        </w:rPr>
        <w:t>подкрепи казаното за това, че мярка 4.3 е много важна за българския селскостопански сектор. По тази мярка потребностите са много по-големи от наличния бюджет и затова  е важно да се разбере как тази мярка е насочена към проектите, които са най-спешни, както по отношение на намаляването на загубите на вода, така и по отношение на приоритетните сектори в българското земеделие. Мярката трябва да бъде насочена към проекти и области, където проектите няма да влошат състоянието на водните обекти, защото това е свързано с рамковата директива за водите.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Пилке</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информира КН, че ще се обсъжда и минималното намаление на водата с тези 15%, които според тях са много малки, като се има предвид лошото състояние на системата за напояване и на последно място, но не по значение, е че този интензитет от 100% трябва да се прилага внимателно в съответните проекти. Всичките тези проекти ще бъдат обсъдени съвместно, когато ги получат.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заяви, че след одобрението на програмата, УО ще разчита на активната роля на всички в ТРГ за изработване на конкретни насоки за кандидатстване и съответно спазване на Индикативната програма и даде думата на г-жа Соня Микова.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СОНЯ МИКОВА, ЦКЗ при Министерски съвет </w:t>
      </w:r>
      <w:r w:rsidRPr="008D41E2">
        <w:rPr>
          <w:rFonts w:ascii="Times New Roman" w:eastAsia="Times New Roman" w:hAnsi="Times New Roman" w:cs="Times New Roman"/>
          <w:sz w:val="24"/>
          <w:szCs w:val="24"/>
          <w:lang w:eastAsia="bg-BG"/>
        </w:rPr>
        <w:t>изрази подкрепата си към казаното от г-н Пилке и посочи, че са изпратили в подобна посока предварителни коментари. В Споразумението за партньорство много ясно са казали, че тази мярка ще допринася за намаляване потреблението на водата и за намаляване на загубите. Това е добре да бъде изведено, защото някъде се губи в описанието на мярката. Говори се за конкурентоспособност, за преодоляване на проблемите с климата, но по-добре е да бъде изведено как</w:t>
      </w:r>
      <w:r w:rsidRPr="008D41E2">
        <w:rPr>
          <w:rFonts w:ascii="Times New Roman" w:eastAsia="Times New Roman" w:hAnsi="Times New Roman" w:cs="Times New Roman"/>
          <w:sz w:val="24"/>
          <w:szCs w:val="24"/>
          <w:lang w:val="en-US" w:eastAsia="bg-BG"/>
        </w:rPr>
        <w:t xml:space="preserve"> това</w:t>
      </w:r>
      <w:r w:rsidRPr="008D41E2">
        <w:rPr>
          <w:rFonts w:ascii="Times New Roman" w:eastAsia="Times New Roman" w:hAnsi="Times New Roman" w:cs="Times New Roman"/>
          <w:sz w:val="24"/>
          <w:szCs w:val="24"/>
          <w:lang w:eastAsia="bg-BG"/>
        </w:rPr>
        <w:t xml:space="preserve"> ще се постигне, защото с този акцент мярката е включена в Споразумението за партньорство.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г-н Гечев.</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ЯВОР ГЕЧЕВ </w:t>
      </w:r>
      <w:r w:rsidRPr="008D41E2">
        <w:rPr>
          <w:rFonts w:ascii="Times New Roman" w:eastAsia="Times New Roman" w:hAnsi="Times New Roman" w:cs="Times New Roman"/>
          <w:sz w:val="24"/>
          <w:szCs w:val="24"/>
          <w:lang w:eastAsia="bg-BG"/>
        </w:rPr>
        <w:t>сподели, че от много години той и екипът му се занимават с проблематиката за напояването. Тези 15% са регламентирани в самия регламент. Той посочи, че през 1986г. България е била на първо място по напоителни територии в света като процент от обработваемата земя и че, ако се приложат пет ПРСР, с целият бюджет за напояване, не може да реконструира само това, което страната е  имала като ресурс за напояване.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Според г-н Гечев,  удачно е в програмата там, където пише „Изграждане на нови и реконструкция…” да се добави  и „модернизация”, което ще конкретизира нещата. Под „модернизация” се разбира, ако примерно от „канал” вместо „открит канал” се сложи „тръбопровод” и загубите на вода стават 0. От тази гледна точка, може би е редно по ЗУТ, навсякъде където има „изграждане нови или реконструкция” или „рехабилитация”, да се добави „модернизация” и тези неща да са обект на насоките за кандидатстване.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Що се отнася до водните тела и до намаляване на състоянието от по-лошо към по-добро, това е регламентирано по закон и това са изискуеми документи, заяви г-н Гечев. Той препоръча мярката да се осъществи така, че да има максимално нисък административен натиск, всяко изречение в тази програма означава много документи. В обобщение г-н Гечев подчерта, че мярката е достатъчно добра и вече трябва да се обърне внимание към насоките за кандидатстване.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lastRenderedPageBreak/>
        <w:t xml:space="preserve">Д-р ЛОЗАНА ВАСИЛЕВА </w:t>
      </w:r>
      <w:r w:rsidRPr="008D41E2">
        <w:rPr>
          <w:rFonts w:ascii="Times New Roman" w:eastAsia="Times New Roman" w:hAnsi="Times New Roman" w:cs="Times New Roman"/>
          <w:sz w:val="24"/>
          <w:szCs w:val="24"/>
          <w:lang w:eastAsia="bg-BG"/>
        </w:rPr>
        <w:t>предложи да се премине към следващата подточка 3.5 и даде думата на г-жа Милена Йорданова.</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
          <w:sz w:val="24"/>
          <w:szCs w:val="24"/>
          <w:lang w:eastAsia="bg-BG"/>
        </w:rPr>
        <w:t>Подточка 3.5. Отразяване на резултати от преразглеждането на размера на подпомагане по мерки 10 „Агроекология и климат“, 11 „Биологично земеделие“, 12 „Плащания по „Натура 2000“ и Рамковата директива за водите“ след анализ и оценка на промяна в практиките по чл. 43 от Регламент 1307/2013;</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МИЛЕНА ЙОРДАНОВА, началник на отдел „Компенсаторни мерки”, МЗХГ </w:t>
      </w:r>
      <w:r w:rsidRPr="008D41E2">
        <w:rPr>
          <w:rFonts w:ascii="Times New Roman" w:eastAsia="Times New Roman" w:hAnsi="Times New Roman" w:cs="Times New Roman"/>
          <w:sz w:val="24"/>
          <w:szCs w:val="24"/>
          <w:lang w:eastAsia="bg-BG"/>
        </w:rPr>
        <w:t>обяви, че от 1 януари 2018 г. са в сила изменения в изискванията по отношение на практиките по член 43 от Регламент 1307. Това са „зелените плащания”, както са по-известни. Отчитайки изискванията на европейското законодателство за избягване на  двойното финансиране при изчисляването на подпомагането по мерки 10, 11 и 12, е ангажиран независим външен експерт,  който да извърши анализ и да оцени влиянието на промените по чл.43 по отношение на изчисления текущ размер на подпомагането.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На база на извършената оценка и анализ на необходимостта от преразглеждане на нивата на подпомагане е установено, че с цел избягване на двойното финансиране, е налице необходимост от изменение на размера на подпомагането за някои операции от тези мерки. По отношение на мярка 10, анализът показва, че няма необходимост от преразглеждане на размера на финансовото подпомагане по направленията „Възстановяване и поддържане на затревени площи с висока природна стойност”, „Традиционни практики за сезонна паша”, Пасторализъм, „Опазване на застрашени от изчезване местни породи, важни за селското стопанство”.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Експертната оценка показва, че има необходимост от изменение на размера на подпомагане за следните дейности: </w:t>
      </w:r>
    </w:p>
    <w:p w:rsidR="008D41E2" w:rsidRPr="008D41E2" w:rsidRDefault="008D41E2" w:rsidP="00FC13F0">
      <w:pPr>
        <w:widowControl/>
        <w:numPr>
          <w:ilvl w:val="0"/>
          <w:numId w:val="98"/>
        </w:numPr>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„Превръщане на обработваеми земи, които са местообитания на царски орел и египетски лешояд“. Тази дейност е част от направление „Поддържане на местообитанията на защитените видове в орнитологично важни места”; </w:t>
      </w:r>
    </w:p>
    <w:p w:rsidR="008D41E2" w:rsidRPr="008D41E2" w:rsidRDefault="008D41E2" w:rsidP="00FC13F0">
      <w:pPr>
        <w:widowControl/>
        <w:numPr>
          <w:ilvl w:val="0"/>
          <w:numId w:val="98"/>
        </w:numPr>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„Превръщане на обработваеми земеделски земи в постоянно затревени площи“ и дейността по създаване и поддържане на буферни ивици, които  са част от направление „Контрол на почвената ерозия”. </w:t>
      </w:r>
    </w:p>
    <w:p w:rsidR="008D41E2" w:rsidRPr="008D41E2" w:rsidRDefault="008D41E2" w:rsidP="00FC13F0">
      <w:pPr>
        <w:widowControl/>
        <w:numPr>
          <w:ilvl w:val="0"/>
          <w:numId w:val="98"/>
        </w:numPr>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Изменения в подпомагането се налагат и за групата на полските култури от направление „Опазване на застрашени от изчезване на местни сортове, важни за селското стопанство”.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Йорданова допълни, че измененията в нивата на подпомагане се прилагат за заявените площи след 1 януари 2018 г., като новият размер на подпомагането е отразен съответно в секциите „Приложими суми и проценти на предоставената подкрепа”. За дейността „Превръщане на обработваеми земи, които са местообитания на царски орел и египетски лешояд” приложимата ставка от 1 януари 2018 г. е 247 евро на база експертните изчисления. За дейността „Превръщане на обработваеми земи в постоянно затревени площи” преразглеждането води до ставка от 266 евро на хектар, а за дейност „Създаване и поддържане на буферни ивици” подпомагането от 1 януари 2018 г. е 36 евро на хектар. За групата на полските култури от направление „Опазване на защитени от изчезване местни сортове” – 221,39 евро на хектар.</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На база изложеното, в частта на програмата „Специфична информация за мярката към методологията за определяне на компенсаторните плащания” г-жа Йорданова посочи, че се добавя следния текст, който да отразява избягването на двойното финансиране:  </w:t>
      </w:r>
      <w:r w:rsidRPr="008D41E2">
        <w:rPr>
          <w:rFonts w:ascii="Times New Roman" w:eastAsia="Times New Roman" w:hAnsi="Times New Roman" w:cs="Times New Roman"/>
          <w:i/>
          <w:iCs/>
          <w:sz w:val="24"/>
          <w:szCs w:val="24"/>
          <w:lang w:eastAsia="bg-BG"/>
        </w:rPr>
        <w:t>"</w:t>
      </w:r>
      <w:r w:rsidRPr="008D41E2">
        <w:rPr>
          <w:rFonts w:ascii="Times New Roman" w:eastAsia="Times New Roman" w:hAnsi="Times New Roman" w:cs="Times New Roman"/>
          <w:i/>
          <w:sz w:val="24"/>
          <w:szCs w:val="24"/>
          <w:lang w:eastAsia="bg-BG"/>
        </w:rPr>
        <w:t>Във връзка с влязла в сила от 1 януари 2018 г. забрана за използване на препарати за растителна защита при прилагане на практиките по чл.43 от Регламент 1307 е извършен анализ на необходимостта от преразглеждане на нивата на подпомагане по всичките дейности на мярката с оглед на избягване на риска от двойно финансиране. За част от дейностите е предвидено намаление на размера на подпомагане с фиксирана средна сума, което е приложимо за площите от съответната операция, заявени за подпомагане след 1 януари 2018 г."</w:t>
      </w:r>
    </w:p>
    <w:p w:rsidR="008D41E2" w:rsidRPr="008D41E2" w:rsidRDefault="008D41E2" w:rsidP="008D41E2">
      <w:pPr>
        <w:widowControl/>
        <w:spacing w:after="0" w:line="240" w:lineRule="auto"/>
        <w:jc w:val="both"/>
        <w:rPr>
          <w:rFonts w:ascii="Times New Roman" w:eastAsia="Times New Roman" w:hAnsi="Times New Roman" w:cs="Times New Roman"/>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lastRenderedPageBreak/>
        <w:t xml:space="preserve">По отношение на извършения анализ, г-жа Йорданова” уточни, че по мярка 11 резултатите са показали необходимост от разглеждане на размера на подпомагане за полски култури, включително фуражни. Изчислената сума, с която да бъде намалено подпомагането за площи от тази група култури след  1 януари 2018 г., е 2 евро на хектар, като това намаляване е отразено в секция „Приложими суми и проценти на предоставената подкрепа“ в двете подмерки на мярка 11.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Оценката на измененията в практиките по чл. 43 не показва необходимост от промени в размера на подпомагането за останалите групи от мярката. Аналогичен текст на този, който е за мярка 10 е включен в методологията за изчисляване на компенсаторните плащания и по мярка 11.</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отношение на мярка 12 отново измененията в приложимото европейско законодателство са анализирани и експертно оценени, като резултатът от тази оценка е показал необходимост от прилагането на средно намаление на компенсаторното плащане за всички зони в частта обработваеми земи, като този размер е 2 евро, т.е., намалението е в размер на 2 евро. В останалите групи „Постоянно затревени площи и трайни насаждения” оценката показва, че не се налагат корекции и промени в настоящите нива на финансово подпомагане.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Допълненията към използваната методология, които отразяват изчисления среден размер 2 евро, приложим към всички обработваеми земи, е включен в методология на изчисленията. Това намаление обхваща намалените разходи, пропуснати ползи, които са изчислени спрямо първоначалните изчисления на размера на подпомагането, като са отчетени обработваемите земи, засегнати от промените в зелените практики.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Това са резултатите от експертната оценка и анализа на промените в законодателството и съответно от преразглеждането на нивата на подпомагане, които г-жа Йорданова представи на КН.</w:t>
      </w:r>
    </w:p>
    <w:p w:rsidR="008D41E2" w:rsidRPr="008D41E2" w:rsidRDefault="008D41E2" w:rsidP="008D41E2">
      <w:pPr>
        <w:widowControl/>
        <w:spacing w:after="0" w:line="240" w:lineRule="auto"/>
        <w:jc w:val="both"/>
        <w:rPr>
          <w:rFonts w:ascii="Times New Roman" w:eastAsia="Times New Roman" w:hAnsi="Times New Roman" w:cs="Times New Roman"/>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Г-жа ЦВЕТОМИРА СТАЙКОВА, титуляр и зам.председател на КН, директор на дирекция „Развитие на селските райони</w:t>
      </w:r>
      <w:r w:rsidRPr="008D41E2">
        <w:rPr>
          <w:rFonts w:ascii="Times New Roman" w:eastAsia="Times New Roman" w:hAnsi="Times New Roman" w:cs="Times New Roman"/>
          <w:sz w:val="24"/>
          <w:szCs w:val="24"/>
          <w:lang w:eastAsia="bg-BG"/>
        </w:rPr>
        <w:t>” даде думата на г-жа Албена Симеонова.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АЛБЕНА СИМЕОНОВА, Председател на УС на Фондация за околна среда и земеделие </w:t>
      </w:r>
      <w:r w:rsidRPr="008D41E2">
        <w:rPr>
          <w:rFonts w:ascii="Times New Roman" w:eastAsia="Times New Roman" w:hAnsi="Times New Roman" w:cs="Times New Roman"/>
          <w:sz w:val="24"/>
          <w:szCs w:val="24"/>
          <w:lang w:eastAsia="bg-BG"/>
        </w:rPr>
        <w:t>поиска от г-жа Йорданова още веднъж да обясни кое налага намаляването с 2 евро за зърнени и фуражни култури и за биологично, за мярка 11, и  да се разбере ясно какво още друго се предлага да бъде намалено. Тя изрази мнение, че не вижда причина за намалението.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МИЛЕНА ЙОРДАНОВА </w:t>
      </w:r>
      <w:r w:rsidRPr="008D41E2">
        <w:rPr>
          <w:rFonts w:ascii="Times New Roman" w:eastAsia="Times New Roman" w:hAnsi="Times New Roman" w:cs="Times New Roman"/>
          <w:sz w:val="24"/>
          <w:szCs w:val="24"/>
          <w:lang w:eastAsia="bg-BG"/>
        </w:rPr>
        <w:t>отговори, че</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по отношение на мярка 11</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 xml:space="preserve">това е намалението, което се  предлага на база на извършения анализ, и че причината за преразглеждането, е в промените, които са въведени в Първи стълб, които налагат да се извърши анализ от страна на държавата-членка дали има риск от двойно финансиране. Оценката на подпомагането и изчисленията са базирани на пропуснатите ползи и допълнителните разходи, които земеделските стопани търпят вследствие на изпълняваните от тях ангажименти. Г-жа Йорданова отново уточни, че изчисленията са свързани с тези промени и отразяват промяната в маржовете и компенсацията, която е изчислена. </w:t>
      </w:r>
      <w:r w:rsidRPr="008D41E2">
        <w:rPr>
          <w:rFonts w:ascii="Times New Roman" w:eastAsia="Times New Roman" w:hAnsi="Times New Roman" w:cs="Times New Roman"/>
          <w:b/>
          <w:sz w:val="24"/>
          <w:szCs w:val="24"/>
          <w:lang w:eastAsia="bg-BG"/>
        </w:rPr>
        <w:t xml:space="preserve">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БОЖИДАР ИВАНОВ, Институт по аграрна икономика </w:t>
      </w:r>
      <w:r w:rsidRPr="008D41E2">
        <w:rPr>
          <w:rFonts w:ascii="Times New Roman" w:eastAsia="Times New Roman" w:hAnsi="Times New Roman" w:cs="Times New Roman"/>
          <w:sz w:val="24"/>
          <w:szCs w:val="24"/>
          <w:lang w:eastAsia="bg-BG"/>
        </w:rPr>
        <w:t>отговори на въпроса на г-жа Симеонова, като поясни, че в началото на документа, който е предоставен на членовете на КН, е разписано каква е причината, за да се тръгне в тази процедура. Това е настъпилото изменение в европейските директиви, касаещо прилагането на зелените плащания от 1 януари 2018 г. От 1 януари 2018 г. се въвежда отпадането на необходимостта за използването на препарати за растителна защита при всички площи и най-вече екологично насочените площи. Вследствие, на настъпването на тези промени при екологично насочените площи, се налага преизчисляването на всичките дейности, които са в споменатите мерки 10, 11 и 12.</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lastRenderedPageBreak/>
        <w:t xml:space="preserve">Специално при биологичното земеделие, допълни г-н Иванов,  изчисляването на ставките при полските култури е правено на основата на сравняването на конвенционално с биологично производство и тъй като при конвенционалното производство отпада необходимостта от покриването на разходите за използването на препарати за растителни защити, които са в размер на тази стойност, с която са намалени, се стига до тези нови изчисления. Винаги принципът е бил използването на методологията, която е приета в самото начало на прилагането на програмата и са преглеждани  всичките ставки така, че да се приспадне риска от двойно финансиране.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предложи да се продължи със следващата подточка 3.6 и даде думата на г-жа Милена Йорданова.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
          <w:sz w:val="24"/>
          <w:szCs w:val="24"/>
          <w:lang w:eastAsia="bg-BG"/>
        </w:rPr>
        <w:t>Подточка 3.6. Представяне на използвана методология при предефиниране на райони с природни ограничения, различни от планинските от мярка 13 „Плащания за райони с природни или други специфични ограничения“.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МИЛЕНА ЙОРДАНОВА </w:t>
      </w:r>
      <w:r w:rsidRPr="008D41E2">
        <w:rPr>
          <w:rFonts w:ascii="Times New Roman" w:eastAsia="Times New Roman" w:hAnsi="Times New Roman" w:cs="Times New Roman"/>
          <w:sz w:val="24"/>
          <w:szCs w:val="24"/>
          <w:lang w:eastAsia="bg-BG"/>
        </w:rPr>
        <w:t xml:space="preserve">информира за действията, които са предприети във връзка с приложението на </w:t>
      </w:r>
      <w:r w:rsidRPr="008D41E2">
        <w:rPr>
          <w:rFonts w:ascii="Times New Roman" w:eastAsia="Times New Roman" w:hAnsi="Times New Roman" w:cs="Times New Roman"/>
          <w:b/>
          <w:sz w:val="24"/>
          <w:szCs w:val="24"/>
          <w:lang w:eastAsia="bg-BG"/>
        </w:rPr>
        <w:t>е</w:t>
      </w:r>
      <w:r w:rsidRPr="008D41E2">
        <w:rPr>
          <w:rFonts w:ascii="Times New Roman" w:eastAsia="Times New Roman" w:hAnsi="Times New Roman" w:cs="Times New Roman"/>
          <w:sz w:val="24"/>
          <w:szCs w:val="24"/>
          <w:lang w:eastAsia="bg-BG"/>
        </w:rPr>
        <w:t>вропейското законодателство за предефиниране на районите, засегнати от ограничения, различни от планинските, на базата на три групи критерии, свързани с климата,  почвите и терена, които са част от Регламент 1305. В резултат на съвместната работа с институт „Никола Пушкаров” и Националния институт по хидрология и метеорология и личния принос на проф. Русева и проф. Казанджиев, е извършен анализ на приложимостта на критериите, положени са усилия за максимално точно отразяване на ограниченията, които са налични в страната с цел да се постигне добър подход при оценяването на площите, засегнати от ограничения. На подкрепата на Националния институт по хидрология и метеорология е разчитано по отношение на климата за критерия „сухота”,</w:t>
      </w:r>
      <w:r w:rsidRPr="008D41E2">
        <w:rPr>
          <w:rFonts w:ascii="Times New Roman" w:eastAsia="Times New Roman" w:hAnsi="Times New Roman" w:cs="Times New Roman"/>
          <w:sz w:val="24"/>
          <w:szCs w:val="24"/>
          <w:lang w:val="en-US" w:eastAsia="bg-BG"/>
        </w:rPr>
        <w:t xml:space="preserve"> </w:t>
      </w:r>
      <w:r w:rsidRPr="008D41E2">
        <w:rPr>
          <w:rFonts w:ascii="Times New Roman" w:eastAsia="Times New Roman" w:hAnsi="Times New Roman" w:cs="Times New Roman"/>
          <w:sz w:val="24"/>
          <w:szCs w:val="24"/>
          <w:lang w:eastAsia="bg-BG"/>
        </w:rPr>
        <w:t>който е приложим за България.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Йорданова допълни, че данните за почвените ограничения са определили следните категории и подкритерии, които дават възможност да бъдат изследвани: недостатъчно изясняване на почвите, неблагоприятна текстура и каменистост на почвите, ограничения по отношение на повърхностната дълбочина на вкореняване и незадоволителни химични свойства. Резултатите от анализа са дело на експерти от института „Никола Пушкаров”, а изчисленията и анализа по отношение на критерия „наклон на склона” са извършени от МЗХГ, като е използван височинен модел на релефа  на база на самолетно заснемане за периода 2012 -2015 г. с големина на участък 8 км.</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Г-жа Йорданова уточни още, че това е първата стъпка при определянето на районите с ограничения различни от планинските и този етап на предефинирането се оценява от Съвместния изследователски център към Европейската комисия. Към настоящия момент има няколко последни коментара, но с информацията, изпратена миналата седмица, се очаква от </w:t>
      </w:r>
      <w:r w:rsidRPr="008D41E2">
        <w:rPr>
          <w:rFonts w:ascii="Times New Roman" w:eastAsia="Times New Roman" w:hAnsi="Times New Roman" w:cs="Times New Roman"/>
          <w:sz w:val="24"/>
          <w:szCs w:val="24"/>
          <w:lang w:val="en-US" w:eastAsia="bg-BG"/>
        </w:rPr>
        <w:t>GRC</w:t>
      </w:r>
      <w:r w:rsidRPr="008D41E2">
        <w:rPr>
          <w:rFonts w:ascii="Times New Roman" w:eastAsia="Times New Roman" w:hAnsi="Times New Roman" w:cs="Times New Roman"/>
          <w:sz w:val="24"/>
          <w:szCs w:val="24"/>
          <w:lang w:eastAsia="bg-BG"/>
        </w:rPr>
        <w:t xml:space="preserve"> работата да бъде оценена като прецизна и точна. Тя обърна специално внимание на това, че землищата, които отговарят на тези критерии и са засегнати от тези критерии, се считат за ограничени, ако поне 60% от земеделската земя е засегната от тези ограничения.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Вторият етап на дефинирането, посочи г-жа Йорданова, е допълнително прецизиране на обхвата на районите, които са засегнати от ограниченията, които са преодолени на база икономически показатели, като  например „стандартна продукция”, „среден добив от доминираща култура”, „напояване” и т.н. Тази дейност е извършена от институт „Никола Пушкаров” като предложеният подход е изборът на критерий „нормална производителност на земята”, която се определя чрез тяхната бонитетна оценка, прилага се на кадастър на земеделските земи като мярка за естествено плодородие, подлежи на своевременен преглед при промени в ползването и се използва за по-добро и по-устойчиво управление на ресурсите в селското стопанство.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Методиката за оценка на производителността на земята, уточни г-жа Йорданова, е актуализирана с приемане на препоръчаните от Организацията по прехрана и земеделие принципи за оценка на земята и в резултат на извършения анализ е определено, че землища, в </w:t>
      </w:r>
      <w:r w:rsidRPr="008D41E2">
        <w:rPr>
          <w:rFonts w:ascii="Times New Roman" w:eastAsia="Times New Roman" w:hAnsi="Times New Roman" w:cs="Times New Roman"/>
          <w:sz w:val="24"/>
          <w:szCs w:val="24"/>
          <w:lang w:eastAsia="bg-BG"/>
        </w:rPr>
        <w:lastRenderedPageBreak/>
        <w:t>които бонитетният бал съответства на 6-та и по-висока категория, се считат за землища, които не са преодолели ограниченията на база биофизичните критерии, избрани от държавата-членка от първия етап от предефинирането. В допълнение е предложено и е отчетено за необходимо да бъдат включени и землища, в които повече от 60% от земеделската земя са засегнати от почви с вертични свойства, а това са смолниците в България.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отношение на втората стъпка от окончателното дефиниране на районите с ограничения,    г-жа Йорданова посочи, че тя е на финален етап и в кратки срокове може да се финализира окончателния обхват тези землища, които са засегнати от ограничения, различни от планинските.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г-жа Соня Микова.</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СОНЯ МИКОВА </w:t>
      </w:r>
      <w:r w:rsidRPr="008D41E2">
        <w:rPr>
          <w:rFonts w:ascii="Times New Roman" w:eastAsia="Times New Roman" w:hAnsi="Times New Roman" w:cs="Times New Roman"/>
          <w:sz w:val="24"/>
          <w:szCs w:val="24"/>
          <w:lang w:eastAsia="bg-BG"/>
        </w:rPr>
        <w:t>уточни, че техният коментар е изпратен предварително. Предвид на това, че предстои още работа по финализирането на мярката, г-жа Микова посочи, че съгласно националната процедура, ще очакват преди да бъде изпратено изменението, то да бъде внесено в</w:t>
      </w:r>
      <w:r w:rsidRPr="008D41E2">
        <w:rPr>
          <w:rFonts w:ascii="Times New Roman" w:eastAsia="Times New Roman" w:hAnsi="Times New Roman" w:cs="Times New Roman"/>
          <w:i/>
          <w:sz w:val="24"/>
          <w:szCs w:val="24"/>
          <w:lang w:eastAsia="bg-BG"/>
        </w:rPr>
        <w:t xml:space="preserve"> </w:t>
      </w:r>
      <w:r w:rsidRPr="008D41E2">
        <w:rPr>
          <w:rFonts w:ascii="Times New Roman" w:eastAsia="Times New Roman" w:hAnsi="Times New Roman" w:cs="Times New Roman"/>
          <w:i/>
          <w:iCs/>
          <w:sz w:val="24"/>
          <w:szCs w:val="24"/>
          <w:lang w:eastAsia="bg-BG"/>
        </w:rPr>
        <w:t>Съвета за координация при управлението на средствата от Европейския съюз</w:t>
      </w:r>
      <w:r w:rsidRPr="008D41E2">
        <w:rPr>
          <w:rFonts w:ascii="Times New Roman" w:eastAsia="Times New Roman" w:hAnsi="Times New Roman" w:cs="Times New Roman"/>
          <w:i/>
          <w:sz w:val="24"/>
          <w:szCs w:val="24"/>
          <w:lang w:eastAsia="bg-BG"/>
        </w:rPr>
        <w:t xml:space="preserve"> </w:t>
      </w:r>
      <w:r w:rsidRPr="008D41E2">
        <w:rPr>
          <w:rFonts w:ascii="Times New Roman" w:eastAsia="Times New Roman" w:hAnsi="Times New Roman" w:cs="Times New Roman"/>
          <w:sz w:val="24"/>
          <w:szCs w:val="24"/>
          <w:lang w:eastAsia="bg-BG"/>
        </w:rPr>
        <w:t>със съответните промени в обхвата на тези райони</w:t>
      </w:r>
      <w:r w:rsidRPr="008D41E2">
        <w:rPr>
          <w:rFonts w:ascii="Times New Roman" w:eastAsia="Times New Roman" w:hAnsi="Times New Roman" w:cs="Times New Roman"/>
          <w:i/>
          <w:sz w:val="24"/>
          <w:szCs w:val="24"/>
          <w:lang w:eastAsia="bg-BG"/>
        </w:rPr>
        <w:t>.</w:t>
      </w:r>
    </w:p>
    <w:p w:rsidR="008D41E2" w:rsidRPr="008D41E2" w:rsidRDefault="008D41E2" w:rsidP="008D41E2">
      <w:pPr>
        <w:widowControl/>
        <w:spacing w:after="0" w:line="240" w:lineRule="auto"/>
        <w:jc w:val="both"/>
        <w:rPr>
          <w:rFonts w:ascii="Times New Roman" w:eastAsia="Times New Roman" w:hAnsi="Times New Roman" w:cs="Times New Roman"/>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г-н Явор Гечев.</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ЯВОР ГЕЧЕВ </w:t>
      </w:r>
      <w:r w:rsidRPr="008D41E2">
        <w:rPr>
          <w:rFonts w:ascii="Times New Roman" w:eastAsia="Times New Roman" w:hAnsi="Times New Roman" w:cs="Times New Roman"/>
          <w:sz w:val="24"/>
          <w:szCs w:val="24"/>
          <w:lang w:eastAsia="bg-BG"/>
        </w:rPr>
        <w:t xml:space="preserve">предложи преди окончателното публикуване на резултатите да се проведе ТРГ с браншовите организации, на която да се запознаят с  резултатите преди затварянето на доклада.    </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МИЛЕНА ЙОРДАНОВА </w:t>
      </w:r>
      <w:r w:rsidRPr="008D41E2">
        <w:rPr>
          <w:rFonts w:ascii="Times New Roman" w:eastAsia="Times New Roman" w:hAnsi="Times New Roman" w:cs="Times New Roman"/>
          <w:sz w:val="24"/>
          <w:szCs w:val="24"/>
          <w:lang w:eastAsia="bg-BG"/>
        </w:rPr>
        <w:t>уточни, че това е подходът, който е избран от България като държава-членка по отношение на определянето на районите с ограничения, след анализ на част от възможните критерии, които са приложими за България. Резултатите от окончателното определяне ще бъдат представени такива, каквито са разработени от екипите на Института „Н.Пушкаров” и Националния институт по хидрология и метеорология  и г-жа Йорданова изрази становище, че не счита за необходимо провеждане на ТРГ.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Cs/>
          <w:sz w:val="24"/>
          <w:szCs w:val="24"/>
          <w:lang w:eastAsia="bg-BG"/>
        </w:rPr>
        <w:t>Проф.</w:t>
      </w:r>
      <w:r w:rsidRPr="008D41E2">
        <w:rPr>
          <w:rFonts w:ascii="Times New Roman" w:eastAsia="Times New Roman" w:hAnsi="Times New Roman" w:cs="Times New Roman"/>
          <w:b/>
          <w:sz w:val="24"/>
          <w:szCs w:val="24"/>
          <w:lang w:eastAsia="bg-BG"/>
        </w:rPr>
        <w:t xml:space="preserve"> СВЕТЛА РУСЕВА</w:t>
      </w:r>
      <w:r w:rsidRPr="008D41E2">
        <w:rPr>
          <w:rFonts w:ascii="Times New Roman" w:eastAsia="Times New Roman" w:hAnsi="Times New Roman" w:cs="Times New Roman"/>
          <w:b/>
          <w:iCs/>
          <w:sz w:val="24"/>
          <w:szCs w:val="24"/>
          <w:lang w:eastAsia="bg-BG"/>
        </w:rPr>
        <w:t xml:space="preserve">, Директор на Институт по почвознание, агротехнологии и растенията „Никола Пушкаров” </w:t>
      </w:r>
      <w:r w:rsidRPr="008D41E2">
        <w:rPr>
          <w:rFonts w:ascii="Times New Roman" w:eastAsia="Times New Roman" w:hAnsi="Times New Roman" w:cs="Times New Roman"/>
          <w:iCs/>
          <w:sz w:val="24"/>
          <w:szCs w:val="24"/>
          <w:lang w:eastAsia="bg-BG"/>
        </w:rPr>
        <w:t>поясни, че основният проблем е методиката на Европейската комисия, по която 60% от територията на земеделски земи в дадено землище трябва да бъде засегната от съответните индикатори, а в съседното землище те могат да бъдат 59%. Това е основният проблем, който земеделските производители срещат и не намират отговор и решение.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ЯВОР ГЕЧЕВ </w:t>
      </w:r>
      <w:r w:rsidRPr="008D41E2">
        <w:rPr>
          <w:rFonts w:ascii="Times New Roman" w:eastAsia="Times New Roman" w:hAnsi="Times New Roman" w:cs="Times New Roman"/>
          <w:sz w:val="24"/>
          <w:szCs w:val="24"/>
          <w:lang w:eastAsia="bg-BG"/>
        </w:rPr>
        <w:t xml:space="preserve">изрази становище, че </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 xml:space="preserve">методиката е объркана и трябва да се търсят варианти, които да са в съответствие с методиката на Европейската комисия за по-равноправни решения, когато става въпрос за съседни парцели на база „землище” .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отговори, че това е изискване на регламента на Европейския съюз.</w:t>
      </w:r>
    </w:p>
    <w:p w:rsidR="008D41E2" w:rsidRPr="008D41E2" w:rsidRDefault="008D41E2" w:rsidP="008D41E2">
      <w:pPr>
        <w:widowControl/>
        <w:spacing w:after="0" w:line="240" w:lineRule="auto"/>
        <w:jc w:val="both"/>
        <w:rPr>
          <w:rFonts w:ascii="Times New Roman" w:eastAsia="Times New Roman" w:hAnsi="Times New Roman" w:cs="Times New Roman"/>
          <w:i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Проф. ВАЛЕНТИН  КАЗАНДЖИЕВ, ръководител на секция „Агрометеорология“ в Националния институт по метеорология и хидрология </w:t>
      </w:r>
      <w:r w:rsidRPr="008D41E2">
        <w:rPr>
          <w:rFonts w:ascii="Times New Roman" w:eastAsia="Times New Roman" w:hAnsi="Times New Roman" w:cs="Times New Roman"/>
          <w:sz w:val="24"/>
          <w:szCs w:val="24"/>
          <w:lang w:eastAsia="bg-BG"/>
        </w:rPr>
        <w:t xml:space="preserve">сподели, че изказва солидарно мнение относно методиката, която се предоставя от Смесения изследователски център в Италия и от ГД „Земеделие” на ЕК, че климатичните промени, които оказват най-силно въздействие върху земеделското производство, не са еднакви в целия Европейски съюз,  поради което те не могат да бъдат включени в една единна методика. Доказано е, посочи проф. Казанджиев, че процесът на климатични промени са много динамични, с все по-голяма честота на климатичните аномалии, особено в Югоизточна Европа и в нашата страна и поради тази причина, критериите, които са избрани от Европейската комисия са два. Единият е продължителност на вегетационния период, а другият е сухота - този критерий, по който е работил екипа на института. Той апелира за модификация на методиката като се регионализират </w:t>
      </w:r>
      <w:r w:rsidRPr="008D41E2">
        <w:rPr>
          <w:rFonts w:ascii="Times New Roman" w:eastAsia="Times New Roman" w:hAnsi="Times New Roman" w:cs="Times New Roman"/>
          <w:sz w:val="24"/>
          <w:szCs w:val="24"/>
          <w:lang w:eastAsia="bg-BG"/>
        </w:rPr>
        <w:lastRenderedPageBreak/>
        <w:t>критериите, т.е., те могат да останат същите, но параметрите на критериите трябва да са различни за различните региони на Европа.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Д-р ЛОЗАНА ВАСИЛЕВА</w:t>
      </w:r>
      <w:r w:rsidRPr="008D41E2">
        <w:rPr>
          <w:rFonts w:ascii="Times New Roman" w:eastAsia="Times New Roman" w:hAnsi="Times New Roman" w:cs="Times New Roman"/>
          <w:sz w:val="24"/>
          <w:szCs w:val="24"/>
          <w:lang w:eastAsia="bg-BG"/>
        </w:rPr>
        <w:t xml:space="preserve"> даде думата на г-н Пилке.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МАЙКЪЛ ПИЛКЕ </w:t>
      </w:r>
      <w:r w:rsidRPr="008D41E2">
        <w:rPr>
          <w:rFonts w:ascii="Times New Roman" w:eastAsia="Times New Roman" w:hAnsi="Times New Roman" w:cs="Times New Roman"/>
          <w:sz w:val="24"/>
          <w:szCs w:val="24"/>
          <w:lang w:eastAsia="bg-BG"/>
        </w:rPr>
        <w:t xml:space="preserve">уточни, че </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при предишната реформа, мярката за компенсиране на земеделските производители по отношение на такива области е срещала трудности, имало е специални доклади от Сметната палата с твърдения, че тази мярка не е ефективна и че развитието на селските райони трябва да се концентрира върху други мерки.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Пилке сподели, че е трябвало да се намери метод, който да възстанови доверието и истинността на тази мярка, да поддържа възможността за компенсации на земеделски производители за райони с ограничения, също така и ограниченията, които не отчитат неприродни фактори, например икономики и т.н. За целта, съвместно с учени са създадени редица биофизични критерии, които отчитат определена категория. Според г-н Пилке, методологията на България е съобразена с местните условия. В резултат на извършената работа с българските учени, с местния изследователски център на Европейския съюз, в момента има надежден метод, който според г-н Пилке, би могъл да се използва за защита на плащанията за България.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Пилке  поясни, че проблемът с прага 60%  е, че винаги ще има случаи, при които в дадено землище има 59% и това е трудността с този праг, но този праг трябва да се  използва, за да може да се гарантира, че съществува значителен недостатък. Винаги ще има земеделски производител, който е малко под този праг и това е ефект, който не може да се промени, защото в  регламента този праг от 60% е нещо, което не подлежи на преговаряне, нито на дерогации, той е вложен в законодателния текст.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Пилке уточни,  че проблемът изисква  дискусия между различни изследователи и учени, че все още съществуват някои дребни технически неща, които трябва да се изяснят и  поздрави българските си колеги затова, че са в една напреднала фаза, че ще има предложение следващата година през месец март и че процесът трябва да се финализира, за да може предложенията да бъдат обработени и мярката да се приложи.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СВЕТЛАНА БОЯНОВА, Председател на Институт за агростратегии и иновации </w:t>
      </w:r>
      <w:r w:rsidRPr="008D41E2">
        <w:rPr>
          <w:rFonts w:ascii="Times New Roman" w:eastAsia="Times New Roman" w:hAnsi="Times New Roman" w:cs="Times New Roman"/>
          <w:sz w:val="24"/>
          <w:szCs w:val="24"/>
          <w:lang w:eastAsia="bg-BG"/>
        </w:rPr>
        <w:t>в допълнение към казаното от г-н Пилке, изрази лично мнение, че когато са изготвяни регламентите, проблемът за страната е бил да се изрази ясна позиция относно биофизичните критерии, които са анекс  към регламента. Тези 60% в анекса, посочи г-жа Боянова, са резултат от много преговори с всички страни-членки и сега е моментът да се започне да се мисли за следващата програма по отношение на необлагодетелстваните райони и да се направи дискусия по темата.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г-жа Милена Йорданова да представи следващата подточка 3.7.</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
          <w:sz w:val="24"/>
          <w:szCs w:val="24"/>
          <w:lang w:eastAsia="bg-BG"/>
        </w:rPr>
        <w:t>Подточка 3.7</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b/>
          <w:i/>
          <w:sz w:val="24"/>
          <w:szCs w:val="24"/>
          <w:lang w:eastAsia="bg-BG"/>
        </w:rPr>
        <w:t>Изменения в текста на мярка 14 „Хуманно отношение към животните“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Г-жа МИЛЕНА ЙОРДАНОВА</w:t>
      </w:r>
      <w:r w:rsidRPr="008D41E2">
        <w:rPr>
          <w:rFonts w:ascii="Times New Roman" w:eastAsia="Times New Roman" w:hAnsi="Times New Roman" w:cs="Times New Roman"/>
          <w:sz w:val="24"/>
          <w:szCs w:val="24"/>
          <w:lang w:eastAsia="bg-BG"/>
        </w:rPr>
        <w:t xml:space="preserve"> уточни, че измененията на текста в мярка 14 „Хуманно отношение към животните” могат да бъдат групирани в няколко секции, като основната промяна, която се предлага е продължителността на изпълняваните ангажименти, предвидени в чл. 33 на Регламент 1305, като ангажиментите могат да бъдат изпълнявани за период от една до седем години. </w:t>
      </w:r>
      <w:r w:rsidRPr="008D41E2">
        <w:rPr>
          <w:rFonts w:ascii="Times New Roman" w:eastAsia="Times New Roman" w:hAnsi="Times New Roman" w:cs="Times New Roman"/>
          <w:b/>
          <w:sz w:val="24"/>
          <w:szCs w:val="24"/>
          <w:lang w:eastAsia="bg-BG"/>
        </w:rPr>
        <w:t>В тази връзка се предлага в секцията от описание на мярката да бъде коригиран текста в посока „ангажименти, изпълнявани на годишна база”.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Втората част от измененията са за прецизиране на текста </w:t>
      </w:r>
      <w:r w:rsidRPr="008D41E2">
        <w:rPr>
          <w:rFonts w:ascii="Times New Roman" w:eastAsia="Times New Roman" w:hAnsi="Times New Roman" w:cs="Times New Roman"/>
          <w:sz w:val="24"/>
          <w:szCs w:val="24"/>
          <w:lang w:eastAsia="bg-BG"/>
        </w:rPr>
        <w:t xml:space="preserve">посочи г-жа Йорданова  и даде пример с дейността за свободно отглеждане на открито. Предложеният текст е свързан с възможността изискването за 160 дни свободно отглеждане на открито да бъде изпълнявано с не </w:t>
      </w:r>
      <w:r w:rsidRPr="008D41E2">
        <w:rPr>
          <w:rFonts w:ascii="Times New Roman" w:eastAsia="Times New Roman" w:hAnsi="Times New Roman" w:cs="Times New Roman"/>
          <w:sz w:val="24"/>
          <w:szCs w:val="24"/>
          <w:lang w:eastAsia="bg-BG"/>
        </w:rPr>
        <w:lastRenderedPageBreak/>
        <w:t xml:space="preserve">по-малко от 120 дни за свободно пашуване, като 40 дни могат да бъдат „на двор”, т.е. да не са фиксирани, така както са в момента в програмата и по този начин, с поне 120 дни на открито, ще бъдат осигурени условия за по-дълъг престой на животните в естествена среда. </w:t>
      </w:r>
      <w:r w:rsidRPr="008D41E2">
        <w:rPr>
          <w:rFonts w:ascii="Times New Roman" w:eastAsia="Times New Roman" w:hAnsi="Times New Roman" w:cs="Times New Roman"/>
          <w:b/>
          <w:sz w:val="24"/>
          <w:szCs w:val="24"/>
          <w:lang w:eastAsia="bg-BG"/>
        </w:rPr>
        <w:t>Изменения в тази посока са включени и в двете подмерки – за едри преживни животни и за дребни преживни животни</w:t>
      </w:r>
      <w:r w:rsidRPr="008D41E2">
        <w:rPr>
          <w:rFonts w:ascii="Times New Roman" w:eastAsia="Times New Roman" w:hAnsi="Times New Roman" w:cs="Times New Roman"/>
          <w:sz w:val="24"/>
          <w:szCs w:val="24"/>
          <w:lang w:eastAsia="bg-BG"/>
        </w:rPr>
        <w:t>.</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Йорданова уточни, че предложените изменения в точката „Условия за допустимост” касаят изискванията към кандидатите като отново са свързани с изпълнението на ангажиментите за срок от една година. Тук се поясняват условията за отпускане на помощта, т.е. помощта покрива изпълняваните задължения и ангажименти на ниво животновъден обект като съответно тези ангажименти надвишават приложимите базови стандарти и други изисквания, уточнява се че изискванията по мярката се следят на ниво на животновъден обект  и се включват както в текстовете на мярката за сектор ЕПЖ, така и за сектор ДПЖ.</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В секциите „Специфични информации за мярката”, както по подмярка 14.1. „Плащания за хуманно отношение към животни в сектор ЕПЖ”, така и за подмярка 14.2. „Плащания за хуманно отношение към животните в сектор ДПЖ”</w:t>
      </w:r>
      <w:r w:rsidRPr="008D41E2">
        <w:rPr>
          <w:rFonts w:ascii="Times New Roman" w:eastAsia="Times New Roman" w:hAnsi="Times New Roman" w:cs="Times New Roman"/>
          <w:sz w:val="24"/>
          <w:szCs w:val="24"/>
          <w:lang w:eastAsia="bg-BG"/>
        </w:rPr>
        <w:t xml:space="preserve"> са синхронизирани прилаганите базови изисквания в националното законодателство, като същевременно това и част от изискванията да бъде ограничено замърсяването на почвите и водите с оборски тор. В предложените изменения се включват текстове, с които се въвеждат изисквания стопаните, които заявяват подпомагане за свободно отглеждане на открито, да поддържат гъстота до две животински единици на цялата пасищна площ на стопанството, ползвана за паша.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Йорданова представи предложението за изменение по отношение на водения от земеделските стопани дневник в случаите, в които животните се извеждат в близост до обекта, в който нощуват, с което се цели да се облекчат земеделските стопани при воденето на този дневник и да се унифицират изискванията на дневника към регистрите на животните, които нощуват извън постоянния обект. Дневникът се заверява от регистрирания ветеринарен лекар в началото и в края на периода на извеждане на животните.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ВЕНЦИСЛАВ ВЪРБАНОВ, Асоциация на земеделските производители в България </w:t>
      </w:r>
      <w:r w:rsidRPr="008D41E2">
        <w:rPr>
          <w:rFonts w:ascii="Times New Roman" w:eastAsia="Times New Roman" w:hAnsi="Times New Roman" w:cs="Times New Roman"/>
          <w:sz w:val="24"/>
          <w:szCs w:val="24"/>
          <w:lang w:eastAsia="bg-BG"/>
        </w:rPr>
        <w:t>изрази подкрепата на АЗПБ на предложените промени, които ще доведат до едно по-бързо администриране и ще улесни фермерите.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Върбанов сподели, че иска да заостри вниманието на следният казус. Остават още 11 дни, в които животновъдите могат да кандидатстват по мярката, но се получава едно разминаване, може би от технически характер или недоглеждане. Миналата година, когато са заявявали, са имали правото да си заявят определена бройка и по норматив тази бройка за тази година може да бъде завишена с 10%. В момента, когато един фермер, примерно, е завишил с 15 или 20% бройката, той иска да кандидатства за бройките, които вече е заявил, поел е петгодишния ангажимент плюс 10%. Няма как, в самия формуляр на заявлението да отбележи за колко броя кандидатства, а трябва да впише всички животни, които се водят по ветеринарната система, което автоматично води до извода, че може да не бъде одобрена кандидатурата и да му бъде отказано подпомагане. Тези опасения, посочи г-н Върбанов, са споделени и от колеги  от регионалните структури, които работят на терен. Той предложи да се обърне внимание на този проблем и смята, че може да се намери решение.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благодари за коментара и уточни, че казусът ще бъде взет предвид и  коментиран с ДФ „Земеделие” как да се реагира своевременно.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ЯНКА ПОПОВА, председател в Национална овцевъдна и козевъдна асоциация </w:t>
      </w:r>
      <w:r w:rsidRPr="008D41E2">
        <w:rPr>
          <w:rFonts w:ascii="Times New Roman" w:eastAsia="Times New Roman" w:hAnsi="Times New Roman" w:cs="Times New Roman"/>
          <w:sz w:val="24"/>
          <w:szCs w:val="24"/>
          <w:lang w:eastAsia="bg-BG"/>
        </w:rPr>
        <w:t xml:space="preserve">изрази мнение, че всички разгледани досега мерки са много важни за членовете на организацията, но пожела да получи отговор на въпрос, свързан с промяната за едногодишния </w:t>
      </w:r>
      <w:r w:rsidRPr="008D41E2">
        <w:rPr>
          <w:rFonts w:ascii="Times New Roman" w:eastAsia="Times New Roman" w:hAnsi="Times New Roman" w:cs="Times New Roman"/>
          <w:sz w:val="24"/>
          <w:szCs w:val="24"/>
          <w:lang w:eastAsia="bg-BG"/>
        </w:rPr>
        <w:lastRenderedPageBreak/>
        <w:t>ангажимент. Става въпрос за тези стопани, които през 2017  г. са кандидатствали и са поели петгодишен ангажимент. В момента тече заявление за второ плащане по подалите вече за 2017 г. заявления. От догодина се очаква трети прием, както и нов прием за нови бенефициенти. Това означава ли, че новите бенефициенти ще поемат едногодишни ангажименти, а  всички останали от 2017 г. продължават по петгодишните ангажименти. Отговорът на този въпрос е важен и е свързан с  предстоящата работна среща в МЗХГ.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уточни, че на ТРГ ще се обсъждат детайлите и даде думата на г-н Пилке.</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МАЙКЪЛ ПИЛКЕ </w:t>
      </w:r>
      <w:r w:rsidRPr="008D41E2">
        <w:rPr>
          <w:rFonts w:ascii="Times New Roman" w:eastAsia="Times New Roman" w:hAnsi="Times New Roman" w:cs="Times New Roman"/>
          <w:sz w:val="24"/>
          <w:szCs w:val="24"/>
          <w:lang w:eastAsia="bg-BG"/>
        </w:rPr>
        <w:t>направи коментар по повод изказването на г-жа Попова, че това е проблем, който го има винаги, когато се променя съдържанието на мерките и че условията са нови и те се прилагат само за новите договори, както е във всяка друга сфера на дейност. Г-н Пилке направи аналог с договора на фирма - когато тя направи нова оферта на нови клиенти, това не означава, че досегашен клиент ще получи новите условия. Когато има текущи договори, остават първоначалните условия и това винаги е в полза на някои бенефициенти.</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посочи, че новите условия ще важат занапред след одобрението и даде думата на г-н Антон Аспарухов за представяне на т.3.8.</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
          <w:sz w:val="24"/>
          <w:szCs w:val="24"/>
          <w:lang w:eastAsia="bg-BG"/>
        </w:rPr>
        <w:t>Точка</w:t>
      </w:r>
      <w:r w:rsidRPr="008D41E2">
        <w:rPr>
          <w:rFonts w:ascii="Times New Roman" w:eastAsia="Times New Roman" w:hAnsi="Times New Roman" w:cs="Times New Roman"/>
          <w:i/>
          <w:sz w:val="24"/>
          <w:szCs w:val="24"/>
          <w:lang w:eastAsia="bg-BG"/>
        </w:rPr>
        <w:t xml:space="preserve"> </w:t>
      </w:r>
      <w:r w:rsidRPr="008D41E2">
        <w:rPr>
          <w:rFonts w:ascii="Times New Roman" w:eastAsia="Times New Roman" w:hAnsi="Times New Roman" w:cs="Times New Roman"/>
          <w:b/>
          <w:i/>
          <w:sz w:val="24"/>
          <w:szCs w:val="24"/>
          <w:lang w:eastAsia="bg-BG"/>
        </w:rPr>
        <w:t>3.8. Уравняване на финансовия план на ПРСР(2014-2020) по фокус – области.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АНТОН АСПАРУХОВ, Началник на отдел „Програмиране, планиране, наблюдение и техническа помощ”, дирекция „РСР”, МЗХГ </w:t>
      </w:r>
      <w:r w:rsidRPr="008D41E2">
        <w:rPr>
          <w:rFonts w:ascii="Times New Roman" w:eastAsia="Times New Roman" w:hAnsi="Times New Roman" w:cs="Times New Roman"/>
          <w:sz w:val="24"/>
          <w:szCs w:val="24"/>
          <w:lang w:eastAsia="bg-BG"/>
        </w:rPr>
        <w:t>уточни, че ще представи промените във финансовия план на мярка 2 „Консултантски услуги”, мярка 4 „Инвестиции във физически активи”, мярка 10 „Агроекология и климат”. В този програмен период една от новостите, които се въвеждат за първи път е, че бюджетът на програмата освен по мерки, е разделен и по фокус-области, т.е. по приоритети, което налага бюджетът на една мярка да бъде разделен на няколко приоритета, т.е. да има по няколко бюджета по различните фокус-области, което е трудно да бъде планирано още в началото, когато се прави програмата и се стига до надплащане на някои от фокус-областите по бюджетите по някои от мерките, което налага и сегашното изравняване.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Аспарухов уточни, че става въпрос за мярка 2 „Консултантски услуги”, където са надплатени 3 фокус-области с приблизително около 100 хил.евро, по-конкретно, това са области 5.б., 5.в. и 5.г. Промяната обхваща и мярка 4 „Инвестиции във физически активи”, където надплащането на планирания бюджет в областта на фокус-област 2.б. е с 8 млн.евро приблизително и мярка 10 „Агроекология и климат”, където е надплатено с около 4 млн.евро по финансовия план на мярката във фокус-област 5.г.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Направено бе пояснение, че с тези суми, които са предмет на предложеното изменение, ще бъде увеличен бюджетът на съответните мерки в тези фокус-области. Важно е да бъде уточнено, че бюджетът на самите мерки не се променя, а това е вътрешно прехвърляне на бюджет от една фокус-област в мярка в друга фокус-област на същата мярка. Основните параметри на финансовия план остават непроменени.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КРИСТИНА ЦВЕТАНСКА, Председател на Българска асоциация на консултантите по европейски програми </w:t>
      </w:r>
      <w:r w:rsidRPr="008D41E2">
        <w:rPr>
          <w:rFonts w:ascii="Times New Roman" w:eastAsia="Times New Roman" w:hAnsi="Times New Roman" w:cs="Times New Roman"/>
          <w:sz w:val="24"/>
          <w:szCs w:val="24"/>
          <w:lang w:eastAsia="bg-BG"/>
        </w:rPr>
        <w:t>постави въпроса доколко са задължени да спазват постигането на нивата по фокус-области, и ако това не се осъществи в някоя фокус-област, има ли някаква корекция или някаква санкция към страната и към програмата.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АНТОН АСПАРУХОВ </w:t>
      </w:r>
      <w:r w:rsidRPr="008D41E2">
        <w:rPr>
          <w:rFonts w:ascii="Times New Roman" w:eastAsia="Times New Roman" w:hAnsi="Times New Roman" w:cs="Times New Roman"/>
          <w:sz w:val="24"/>
          <w:szCs w:val="24"/>
          <w:lang w:eastAsia="bg-BG"/>
        </w:rPr>
        <w:t xml:space="preserve">отговори, че самото недостигане по фокус-области не е свързано с финансови корекции, както е при други параметри от програмата, а това е едно планиране, което е направено с цел да се следи напредъка по различните приоритети и фокус-области. В случай, </w:t>
      </w:r>
      <w:r w:rsidRPr="008D41E2">
        <w:rPr>
          <w:rFonts w:ascii="Times New Roman" w:eastAsia="Times New Roman" w:hAnsi="Times New Roman" w:cs="Times New Roman"/>
          <w:sz w:val="24"/>
          <w:szCs w:val="24"/>
          <w:lang w:eastAsia="bg-BG"/>
        </w:rPr>
        <w:lastRenderedPageBreak/>
        <w:t>че към края на програмата не е постигнат бюджетът по фокус-области, може да се наложи евентуално изменение в края на програмата на този бюджет.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предложи да се премине към т.3.9 и даде думата на г-н Стефан Спасов за пояснение.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
          <w:sz w:val="24"/>
          <w:szCs w:val="24"/>
          <w:lang w:eastAsia="bg-BG"/>
        </w:rPr>
        <w:t>Точка</w:t>
      </w:r>
      <w:r w:rsidRPr="008D41E2">
        <w:rPr>
          <w:rFonts w:ascii="Times New Roman" w:eastAsia="Times New Roman" w:hAnsi="Times New Roman" w:cs="Times New Roman"/>
          <w:i/>
          <w:sz w:val="24"/>
          <w:szCs w:val="24"/>
          <w:lang w:eastAsia="bg-BG"/>
        </w:rPr>
        <w:t xml:space="preserve"> </w:t>
      </w:r>
      <w:r w:rsidRPr="008D41E2">
        <w:rPr>
          <w:rFonts w:ascii="Times New Roman" w:eastAsia="Times New Roman" w:hAnsi="Times New Roman" w:cs="Times New Roman"/>
          <w:b/>
          <w:i/>
          <w:sz w:val="24"/>
          <w:szCs w:val="24"/>
          <w:lang w:eastAsia="bg-BG"/>
        </w:rPr>
        <w:t>3.9. Изменение в Глава 11„План на показателите“ от ПРСР (2014-2020), свързано с фокус област 6Б) „Стимулиране на местното развитие в селските райони“.</w:t>
      </w:r>
    </w:p>
    <w:p w:rsidR="008D41E2" w:rsidRPr="008D41E2" w:rsidRDefault="008D41E2" w:rsidP="008D41E2">
      <w:pPr>
        <w:widowControl/>
        <w:spacing w:after="0" w:line="240" w:lineRule="auto"/>
        <w:jc w:val="both"/>
        <w:rPr>
          <w:rFonts w:ascii="Times New Roman" w:eastAsia="Times New Roman" w:hAnsi="Times New Roman" w:cs="Times New Roman"/>
          <w:b/>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СТЕФАН СПАСОВ </w:t>
      </w:r>
      <w:r w:rsidRPr="008D41E2">
        <w:rPr>
          <w:rFonts w:ascii="Times New Roman" w:eastAsia="Times New Roman" w:hAnsi="Times New Roman" w:cs="Times New Roman"/>
          <w:sz w:val="24"/>
          <w:szCs w:val="24"/>
          <w:lang w:eastAsia="bg-BG"/>
        </w:rPr>
        <w:t>уточни, че става въпрос за техническа корекция в програмата по подмярка 19.1 в подхода „Водени от общностите за местно развитие”.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Спасов допълни, че подмярка 19.1 е изпълнена 2015-2016 г., като от общия бюджет на подмярката 4,766 млн. евро са за изготвяне на стратегии, за подготвителни дейности са използвани около 2 млн.евро, а от остатъка от 2,766 млн.евро  при одобрението на стратегиите по втория прием. Управляващият орган на ПРСР е преценил, че е целесъобразно, поради големия обществен интерес и значимост, да се вземат 2 млн.евро от тази подмярка, за да може да се одобри една стратегия за местно развитие в повече. Така 2 млн.евро от подмярка 19.1 са преразпределени 1,5 млн. евро за одобрение на проекти към стратегия към подмярка 19.2. и 500 хил.евро към подмярка 19.4. за управление на МИГ, с което от остатъчни средства по подмярката става възможно да бъде одобрена една стратегия в повече и в момента тя се изпълнява.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Спасов обяви, че към момента по подмярката има налични средства в размер на около 760 хил.евро, с които средства ще са обезпечени дейностите за малки пилотни проекти през следващата година. След консултации с Европейската комисия, ще се предложи като техническа промяна в ПРСР прехвърлянето на средствата в една фокус-област и всички подмерки ще са с еднакво финансиране в рамките на една мярка.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 коментари.</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Г-жа РОСИЦА КАРАМФИЛОВА, Министерство на околната среда и водите</w:t>
      </w:r>
      <w:r w:rsidRPr="008D41E2">
        <w:rPr>
          <w:rFonts w:ascii="Times New Roman" w:eastAsia="Times New Roman" w:hAnsi="Times New Roman" w:cs="Times New Roman"/>
          <w:sz w:val="24"/>
          <w:szCs w:val="24"/>
          <w:lang w:eastAsia="bg-BG"/>
        </w:rPr>
        <w:t xml:space="preserve">  обърна внимание, че всички предложения за изменение на програмата се представят на етап, в който  не е подадено уведомление по чл .8 от Наредбата за условията и реда за извършване на екологична оценка на планове и програми, и че измененията следва да бъдат отразени в окончателния вариант след произнасяне от страна на МОСВ относно необходимостта от провеждане на такава процедура по екологична оценка.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АНТОН АСПАРУХОВ </w:t>
      </w:r>
      <w:r w:rsidRPr="008D41E2">
        <w:rPr>
          <w:rFonts w:ascii="Times New Roman" w:eastAsia="Times New Roman" w:hAnsi="Times New Roman" w:cs="Times New Roman"/>
          <w:sz w:val="24"/>
          <w:szCs w:val="24"/>
          <w:lang w:eastAsia="bg-BG"/>
        </w:rPr>
        <w:t>уточни, че процедурата по екологичната оценка е известна,  ще бъде спазена и при петото изменение на програмата, както това е ставало при предложенията за предишните изменения на програмата.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 xml:space="preserve">прекрати дискусията по точка 3-та и предложи на КН да одобри предложенията за 5 изменение на програмата и да упълномощи </w:t>
      </w:r>
      <w:r w:rsidRPr="008D41E2">
        <w:rPr>
          <w:rFonts w:ascii="Times New Roman" w:eastAsia="Times New Roman" w:hAnsi="Times New Roman" w:cs="Times New Roman"/>
          <w:b/>
          <w:sz w:val="24"/>
          <w:szCs w:val="24"/>
          <w:lang w:eastAsia="bg-BG"/>
        </w:rPr>
        <w:t>Управляващия орган на Програмата да го изпрати официално (чрез SFC) на Европейската комисия, както и даде мандат на Управляващия орган да договори окончателния вариант на промените в преговорния процес с Европейската комисия.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Премина се към гласуване на предложенията, които бяха приети с мнозинство.</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u w:val="single"/>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u w:val="single"/>
          <w:lang w:eastAsia="bg-BG"/>
        </w:rPr>
        <w:t>РЕШЕНИЕ ПО ТОЧКА 3-та ОТ ДНЕВНИЯ РЕД</w:t>
      </w:r>
      <w:r w:rsidRPr="008D41E2">
        <w:rPr>
          <w:rFonts w:ascii="Times New Roman" w:eastAsia="Times New Roman" w:hAnsi="Times New Roman" w:cs="Times New Roman"/>
          <w:sz w:val="24"/>
          <w:szCs w:val="24"/>
          <w:u w:val="single"/>
          <w:lang w:eastAsia="bg-BG"/>
        </w:rPr>
        <w:t>:</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КН одобри предложенията за 5 изменение на Програмата за развитие на селските райони (2014-2020) и упълномощи Управляващия орган на Програмата да го изпрати официално (чрез SFC) на Европейската комисия. КН дава мандат на Управляващия орган да договори окончателния вариант на промените в преговорния процес с Европейската комисия, а именно: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lastRenderedPageBreak/>
        <w:t>- промени в текста на мярка 1 „Трансфер на знания и действия за осведомяване“;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промени в текста на подмярка 16.1 „Подкрепа за сформиране и функциониране на оперативни групи в рамките на ЕПИ за селскостопанска производителност и устойчивост“;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промени в текста на ПРСР, свързани с изготвяне на методика, за определяне на опростени разходи, които ще се прилагат по :</w:t>
      </w:r>
    </w:p>
    <w:p w:rsidR="008D41E2" w:rsidRPr="008D41E2" w:rsidRDefault="008D41E2" w:rsidP="008D41E2">
      <w:pPr>
        <w:widowControl/>
        <w:spacing w:after="0" w:line="240" w:lineRule="auto"/>
        <w:ind w:left="708"/>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мярка 19 „Водено от общностите местно развитие“;</w:t>
      </w:r>
    </w:p>
    <w:p w:rsidR="008D41E2" w:rsidRPr="008D41E2" w:rsidRDefault="008D41E2" w:rsidP="008D41E2">
      <w:pPr>
        <w:widowControl/>
        <w:spacing w:after="0" w:line="240" w:lineRule="auto"/>
        <w:ind w:left="708"/>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подмярка 1.1 „Професионално обучение и придобиване на умения“;</w:t>
      </w:r>
    </w:p>
    <w:p w:rsidR="008D41E2" w:rsidRPr="008D41E2" w:rsidRDefault="008D41E2" w:rsidP="008D41E2">
      <w:pPr>
        <w:widowControl/>
        <w:spacing w:after="0" w:line="240" w:lineRule="auto"/>
        <w:ind w:left="708"/>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подмярка 16.1. „Подкрепа за сформиране и функциониране на оперативни групи в рамките на ЕПИ“;</w:t>
      </w:r>
    </w:p>
    <w:p w:rsidR="008D41E2" w:rsidRPr="008D41E2" w:rsidRDefault="008D41E2" w:rsidP="008D41E2">
      <w:pPr>
        <w:widowControl/>
        <w:spacing w:after="0" w:line="240" w:lineRule="auto"/>
        <w:ind w:left="708"/>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подмярка 16.4. „Подкрепа за хоризонтално и вертикално сътрудничество между участниците във веригата на доставки“;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допълнение на Програмата с включване на текст на подмярка 4.3. „Подкрепа за инвестиции в инфраструктура, свързани с развитие, модернизация или адаптиране на земеделската и горска инфрастр</w:t>
      </w:r>
      <w:r w:rsidR="00896F01">
        <w:rPr>
          <w:rFonts w:ascii="Times New Roman" w:eastAsia="Times New Roman" w:hAnsi="Times New Roman" w:cs="Times New Roman"/>
          <w:b/>
          <w:sz w:val="24"/>
          <w:szCs w:val="24"/>
          <w:lang w:eastAsia="bg-BG"/>
        </w:rPr>
        <w:t>уктура“</w:t>
      </w:r>
      <w:r w:rsidRPr="008D41E2">
        <w:rPr>
          <w:rFonts w:ascii="Times New Roman" w:eastAsia="Times New Roman" w:hAnsi="Times New Roman" w:cs="Times New Roman"/>
          <w:b/>
          <w:sz w:val="24"/>
          <w:szCs w:val="24"/>
          <w:lang w:eastAsia="bg-BG"/>
        </w:rPr>
        <w:t>;</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отразяване на резултати от преразглеждането на размера на подпомагане по мерки 10 „Агроекология и климат“, 11 „Биологично земеделие“, 12 „Плащания по „Натура 2000“ и Рамковата директива за водите“ след анализ и оценка на промяна в практиките по чл. 43 от Регламент 1307/2013;</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представяне на използвана методология при предефиниране на райони с природни ограничения, различни от планинските по мярка 13 „Плащания за райони с природни или други специфични ограничения“;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изменения в текста на мярка 14 „Хуманно отношение към животните“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уравняване на финансовия план на ПРСР (2014-2020) по фокус - области;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изменение в Глава 11 „План на показателите“ от ПРСР (2014-2020),  свързано с корекция на стойностите на бюджетите на подмерки 19.1, 19.2 и 19.4 на мярка 19 „Водено от общностите местно развитие“.</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обяви точка 4-та от дневния ред и информира, че предложените в точката критерии са изработени с помощта и активното участие на членовете на ТРГ по подмярката и даде думата на г-н Цветанов да представи предложението.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u w:val="single"/>
          <w:lang w:eastAsia="bg-BG"/>
        </w:rPr>
        <w:t>ТОЧКА 4-та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
          <w:sz w:val="24"/>
          <w:szCs w:val="24"/>
          <w:lang w:eastAsia="bg-BG"/>
        </w:rPr>
        <w:t>т. 4. Предложение на УО за критерии за подбор на проектни предложения по подмярка 1.1 „Професионално обучение и придобиване на умения“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ВЛАДИСЛАВ ЦВЕТАНОВ </w:t>
      </w:r>
      <w:r w:rsidRPr="008D41E2">
        <w:rPr>
          <w:rFonts w:ascii="Times New Roman" w:eastAsia="Times New Roman" w:hAnsi="Times New Roman" w:cs="Times New Roman"/>
          <w:sz w:val="24"/>
          <w:szCs w:val="24"/>
          <w:lang w:eastAsia="bg-BG"/>
        </w:rPr>
        <w:t>уточни, че при разработването на критериите за оценка е спазен общоприетият принцип, следвайки определения в ПРСР подход за визиране на подобен тип проекти, като по отделните дейности, т.е. за двата типа семинари или и трите типа курсове е използван идентичен подход, определен във фиша на подмярка 1.1. Три  са основните приоритета като към всеки приоритет са разписани критерии за оценка, които да предоставят възможност за оценка на всяка дейност.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Първият приоритет е „Оценка на семинарната програма в съответствие с приоритетите, посочени в ПРСР”, </w:t>
      </w:r>
      <w:r w:rsidRPr="008D41E2">
        <w:rPr>
          <w:rFonts w:ascii="Times New Roman" w:eastAsia="Times New Roman" w:hAnsi="Times New Roman" w:cs="Times New Roman"/>
          <w:sz w:val="24"/>
          <w:szCs w:val="24"/>
          <w:lang w:eastAsia="bg-BG"/>
        </w:rPr>
        <w:t>за който г-н Цветанов уточни, че са определени три броя критерии за оценка за всички дейности, с изключение на дейностите по семинари в рамките на 18 часа, където критериите са четири, съобразно  изискването по отношение на приоритизиране на бенефициенти по мярка „Биологично производство” от ПРСР.</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Вторият приоритет </w:t>
      </w:r>
      <w:r w:rsidRPr="008D41E2">
        <w:rPr>
          <w:rFonts w:ascii="Times New Roman" w:eastAsia="Times New Roman" w:hAnsi="Times New Roman" w:cs="Times New Roman"/>
          <w:sz w:val="24"/>
          <w:szCs w:val="24"/>
          <w:lang w:eastAsia="bg-BG"/>
        </w:rPr>
        <w:t>е „</w:t>
      </w:r>
      <w:r w:rsidRPr="008D41E2">
        <w:rPr>
          <w:rFonts w:ascii="Times New Roman" w:eastAsia="Times New Roman" w:hAnsi="Times New Roman" w:cs="Times New Roman"/>
          <w:b/>
          <w:sz w:val="24"/>
          <w:szCs w:val="24"/>
          <w:lang w:eastAsia="bg-BG"/>
        </w:rPr>
        <w:t>Оценка на специфичния професионален опит на лекторите, които участват в съответния курс или семинар”</w:t>
      </w:r>
      <w:r w:rsidRPr="008D41E2">
        <w:rPr>
          <w:rFonts w:ascii="Times New Roman" w:eastAsia="Times New Roman" w:hAnsi="Times New Roman" w:cs="Times New Roman"/>
          <w:sz w:val="24"/>
          <w:szCs w:val="24"/>
          <w:lang w:eastAsia="bg-BG"/>
        </w:rPr>
        <w:t xml:space="preserve"> с четири критерия, които са обвързани с опита на екипа, включен в бъдещите курсове или семинари.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Третият приоритет е „Оценка на методите и формите на представяне на темата на семинара или съответно курса”</w:t>
      </w:r>
      <w:r w:rsidRPr="008D41E2">
        <w:rPr>
          <w:rFonts w:ascii="Times New Roman" w:eastAsia="Times New Roman" w:hAnsi="Times New Roman" w:cs="Times New Roman"/>
          <w:sz w:val="24"/>
          <w:szCs w:val="24"/>
          <w:lang w:eastAsia="bg-BG"/>
        </w:rPr>
        <w:t xml:space="preserve"> с три критерия за оценка на подробното представяне и описание и обяснение на методите и на начина, по който ще се извърши съответният семинар </w:t>
      </w:r>
      <w:r w:rsidRPr="008D41E2">
        <w:rPr>
          <w:rFonts w:ascii="Times New Roman" w:eastAsia="Times New Roman" w:hAnsi="Times New Roman" w:cs="Times New Roman"/>
          <w:sz w:val="24"/>
          <w:szCs w:val="24"/>
          <w:lang w:eastAsia="bg-BG"/>
        </w:rPr>
        <w:lastRenderedPageBreak/>
        <w:t>или курс и наличието на осигурен финансов ресурс от страна на кандидатстващата организация със заложено ниво от 30% за осигурено финансиране.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Владислав Цветанов отбеляза, че предложените критерии за оценка са критерии, по които ще се оценява съответната дейност - курс или семинар. Ако една организация е кандидатствала с няколко вида дейности, всяка една дейност ще бъде оценена в зависимост от това дали е семинар или курс, или в зависимост от съответната продължителност, след което общата оценка на проектното предложение ще бъде формирана като средно аритметична от оценките за съответните дейности. Друг важен момент, който се предлага с настоящата оценка, е минималният брой от 50 точки да бъде част от критериите за оценка, за да бъде допустим за подкрепа съответния курс или семинар. Г-н Цветанов уточни, че не  представя  критериите за оценка за всяка една дейност, тъй като те са идентични на семинарите от 18 часа.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предложи да се премине към гласуване на точката.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Решението бе прието с единодушие.</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u w:val="single"/>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u w:val="single"/>
          <w:lang w:eastAsia="bg-BG"/>
        </w:rPr>
        <w:t>РЕШЕНИЕ ПО ТОЧКА 4-та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КН одобри предложението на УО за критерии за подбор на проектни предложения по подмярка 1.1 „Професионално обучение и придобиване на умения</w:t>
      </w:r>
      <w:r w:rsidR="00896F01">
        <w:rPr>
          <w:rFonts w:ascii="Times New Roman" w:eastAsia="Times New Roman" w:hAnsi="Times New Roman" w:cs="Times New Roman"/>
          <w:b/>
          <w:sz w:val="24"/>
          <w:szCs w:val="24"/>
          <w:lang w:eastAsia="bg-BG"/>
        </w:rPr>
        <w:t>“.</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предложи да се премине към точка 5-та и даде думата на г-жа Атидже Алиева-Вели да представи информацията за напредъка по обработката на заявленията.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u w:val="single"/>
          <w:lang w:eastAsia="bg-BG"/>
        </w:rPr>
        <w:t>ТОЧКА 5-ТА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
          <w:sz w:val="24"/>
          <w:szCs w:val="24"/>
          <w:lang w:eastAsia="bg-BG"/>
        </w:rPr>
        <w:t>Информация за напредъка на ПРСР (2014-2020) - напредък по обработката на заявленията, постигане на междинните цели, докладване нивото на грешки.</w:t>
      </w:r>
    </w:p>
    <w:p w:rsidR="008D41E2" w:rsidRPr="008D41E2" w:rsidRDefault="008D41E2" w:rsidP="008D41E2">
      <w:pPr>
        <w:widowControl/>
        <w:spacing w:after="0" w:line="240" w:lineRule="auto"/>
        <w:jc w:val="both"/>
        <w:rPr>
          <w:rFonts w:ascii="Times New Roman" w:eastAsia="Times New Roman" w:hAnsi="Times New Roman" w:cs="Times New Roman"/>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Г-жа АТИДЖЕ АЛИЕВА-ВЕЛИ, Зам. изпълнителен директор, ДФ „Земедели</w:t>
      </w:r>
      <w:r w:rsidRPr="008D41E2">
        <w:rPr>
          <w:rFonts w:ascii="Times New Roman" w:eastAsia="Times New Roman" w:hAnsi="Times New Roman" w:cs="Times New Roman"/>
          <w:sz w:val="24"/>
          <w:szCs w:val="24"/>
          <w:lang w:eastAsia="bg-BG"/>
        </w:rPr>
        <w:t>е” направи уговорката, че материалите, изпратени на членовете на КН са към 23 ноември,  а в момента ще представи данни към 7 декември, тъй като ситуацията е динамична. 2018г. е година с много приеми и промени и с изцяло нова система за работа - ИСУН. Проведени са 17 приема през ИСУН с общ брой на заявленията 4340 в размер на бюджетите по обявените приеми от близо 337 млн.евро. Заявената субсидия по подадените проектни предложения е близо 740 млн.евро.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Г-жа Вели отбеляза факта, че е приключила работата по всички приеми по ИСАК, продължила 2-3 години поради изчакване на становища или на прехвърляне, или освобождаване на бюджет. Към момента близо 24% е усвояването по програмата, а по мерките, по които има плащания, усвояването е близо 31%.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отношение на изпълнението, 68% е договарянето по мерките, по които има обявени приеми и общият процент на договаряне, съотнесен към общия бюджет по ПРСР е 56%. С разплащанията по линията на площните мерки, с договарянето и предстоящото плащане по приемите, проведени през тази година, в рамките на първото тримесечие на следващата година, се очакват доста увеличения на тези проценти, тъй като предстои интензивно договаряне.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Във връзка с приоритетите до края на 2018г. и отчитане на междинните цели, г-жа Вели посочи, че е представена информация за заявките за плащане, които в момента са постъпили в Разплащателна агенция. В случай, че отговарят на критериите за изплащане на финансова помощ, всички тези 874 заявки ще бъдат приключени и изплатени до края на годината. Особено важни за изпълнение на междинните цели са заявките по 4.2., по 4.1., по общинските мерки, по публичните мерки 7.2. и 7.6.</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Информацията за подадени и обработени проекти през ИСАК и през ИСУН е разделена. Проектите, подадени през ИСАК са 14 650 с над 3 млрд.евро заявена субсидия. Обработените заявления са 12 454, сключените договори са 5419 за близо 1,100 млрд.евро субсидия. В </w:t>
      </w:r>
      <w:r w:rsidRPr="008D41E2">
        <w:rPr>
          <w:rFonts w:ascii="Times New Roman" w:eastAsia="Times New Roman" w:hAnsi="Times New Roman" w:cs="Times New Roman"/>
          <w:sz w:val="24"/>
          <w:szCs w:val="24"/>
          <w:lang w:eastAsia="bg-BG"/>
        </w:rPr>
        <w:lastRenderedPageBreak/>
        <w:t>обработените проекти са включени и проектите, отказани за недостатъчен бюджет. Към момента, единствените проекти, по които няма постановени откази за недостатъчен бюджет са по подмярка 6.3., тъй като има необявен и неусвоен бюджет по подмярката и с УО се обсъжда за евентуално обявяване на нов прием.</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подмярка 4.1. през настоящата година, от последния прием, проведен през 2016г., са договорени проектите, оценени с 55 точки. В момента, всички кандидати са поканени за подписване на договор. Като резерв са били оставени близо 260 заявления, които са очаквали освобождаване на бюджет. Тъй като бюджетът е недостатъчен за тях, те са с издадени заповеди за отказ. Целият бюджет по подмярка 4.1. е договорен, даже и наддоговорен. По първия прием има сключени първоначално 180 договора под условие. Към настоящия момент 120 все още продължават да бъдат под условие. Това са договорите и проектите, оценени от 35 до 33 точки, които очакват освобождаване на близо 20 млн.евро. бюджет. Предприети са стъпки в посока осигуряване на този бюджет и в най-скоро време да бъдат анексирани и тези договори.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подмярка 4.2. уточни г-жа Вели, приемът, който е проведен през 2015г., е приключил като обработка през 2018г. Поради изчакването на прехвърляне на допълнителен финансов ресурс от 39,5 млн. евро, работата по този прием също е приключена. 269 сключени договора, в момента има още няколко договора, които са в процес на подписване и ще бъдат отчетени към сключените договори.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приема, проведен през ИСУН, при бюджет 85 млн.евро, има 593 проекта за 323 млн.евро, от тях 175 попадат в рамките на 130% на бюджета и са в процес на оценка.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Вели помоли за малка пауза заради проблем с кашлица, която затруднява говора й. В паузата г-жа Цветомира Стайкова продължи представянето по темата.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ЦВЕТОМИРА СТАЙКОВА </w:t>
      </w:r>
      <w:r w:rsidRPr="008D41E2">
        <w:rPr>
          <w:rFonts w:ascii="Times New Roman" w:eastAsia="Times New Roman" w:hAnsi="Times New Roman" w:cs="Times New Roman"/>
          <w:sz w:val="24"/>
          <w:szCs w:val="24"/>
          <w:lang w:eastAsia="bg-BG"/>
        </w:rPr>
        <w:t>направи</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 xml:space="preserve">кратко представяне по правилото за автоматично освобождаване, тъй нареченото </w:t>
      </w:r>
      <w:r w:rsidRPr="008D41E2">
        <w:rPr>
          <w:rFonts w:ascii="Times New Roman" w:eastAsia="Times New Roman" w:hAnsi="Times New Roman" w:cs="Times New Roman"/>
          <w:sz w:val="24"/>
          <w:szCs w:val="24"/>
          <w:lang w:val="en-US" w:eastAsia="bg-BG"/>
        </w:rPr>
        <w:t>N</w:t>
      </w:r>
      <w:r w:rsidRPr="008D41E2">
        <w:rPr>
          <w:rFonts w:ascii="Times New Roman" w:eastAsia="Times New Roman" w:hAnsi="Times New Roman" w:cs="Times New Roman"/>
          <w:sz w:val="24"/>
          <w:szCs w:val="24"/>
          <w:lang w:eastAsia="bg-BG"/>
        </w:rPr>
        <w:t>+3 правило. Европейското законодателство</w:t>
      </w:r>
      <w:r w:rsidRPr="008D41E2">
        <w:rPr>
          <w:rFonts w:ascii="Times New Roman" w:eastAsia="Times New Roman" w:hAnsi="Times New Roman" w:cs="Times New Roman"/>
          <w:sz w:val="24"/>
          <w:szCs w:val="24"/>
          <w:lang w:val="en-US" w:eastAsia="bg-BG"/>
        </w:rPr>
        <w:t>,</w:t>
      </w:r>
      <w:r w:rsidRPr="008D41E2">
        <w:rPr>
          <w:rFonts w:ascii="Times New Roman" w:eastAsia="Times New Roman" w:hAnsi="Times New Roman" w:cs="Times New Roman"/>
          <w:sz w:val="24"/>
          <w:szCs w:val="24"/>
          <w:lang w:eastAsia="bg-BG"/>
        </w:rPr>
        <w:t xml:space="preserve"> за първи път, предвижда към края на 2018 г. да бъде оценено усвояването на бюджет 2015 г. по финансовия план, който е в размер на 503 млн. евро средства по линия на Европейския земеделски фонд за развитие на селските райони. По данни към 1 декември, усвоените средства по програмата са в размер на 100% от целта за 2018 г. Разплатените средства са 701 431 919 евро публични средства или 557 198 050 евро средства по линия на ЕЗФРСР, които заедно с 3% аванс формират изпълнението на заложената цел 503 млн.евро и тук таргетът е изпълнен на 125%.</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Стайкова даде думата на г-жа Вели.</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АТИДЖЕ АЛИЕВА-ВЕЛИ </w:t>
      </w:r>
      <w:r w:rsidRPr="008D41E2">
        <w:rPr>
          <w:rFonts w:ascii="Times New Roman" w:eastAsia="Times New Roman" w:hAnsi="Times New Roman" w:cs="Times New Roman"/>
          <w:sz w:val="24"/>
          <w:szCs w:val="24"/>
          <w:lang w:eastAsia="bg-BG"/>
        </w:rPr>
        <w:t>продължи с презентацията. По втория прием, който е проведен през ИСУН обработката на проектите върви по-бавно и очакванията са до края на декември да се публикува оценителен доклад и през януари да се поканят кандидатите за подписване на административни договори, като по част от подадените проектни предложения, има доста неточности и това налага изпращането на втори уведомителни писма, срокът на които е до 26-27 декември. Надеждата е в първите дни на януари 2019г. да има готовност за публикуване на оценителния доклад.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подмярка 4.1.2. г-жа Вели отбеляза, че подмярката е една от малкото подмерки, по които няма ограничен бюджет. 12,5 млн. евро бюджет по приема, общата стойност на подадените проекти е близо 4 млн.евро. 244 проекта ще бъдат в обработка. Предстои административна оценка за съответствие и допустимост.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приема по подмярка 6.1., проведен 2018г., при бюджет 22 млн. евро, има почти двоен интерес от над 41 млн.евро. 1658 проекта от общо 1837 попадат в рамките на 130% на бюджета и 1145 проекта в момента са на етап административна оценка. Надеждата е до края на януари да има оценителен доклад, тъй като интереса от страна на младите земеделски стопани и очакването на административни договори е голям.</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публичните мерки, по подмярка 7.2., по приема, проведен през 2016г., са подадени 938 проекта за 8 дейности, включвайки и целевия прием за община Хитрино с бюджет в общ размер 439 млн.евро. От тях има 327 сключени договори за 427 млн.евро. Все още има единични проекти, които са в процес на допълнителни проверки от външни институции или от вътрешни дирекции на Фонда.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По приемите, проведени през 2016 г. са съгласувани 463 процедури съгласно Закона за обществени поръчки и са избрани изпълнители. Общините имат окончателни анекси и са стартирали дейностите по проектите. В момента това, което постъпва към ДФ „Земеделие”, като съгласуване на предварителен етап на запланувани обществени поръчки, са дейностите за водоснабдяване. Именно това са и последните договори, които са подписани по приема.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Вели уточни, че при прием 2018 г. отново има няколко дейности. По процедурата, която е за проектни предложения за строителство, реконструкция, рехабилитация на улици, при бюджет 50 млн. евро, има 153 постъпили проекта за 86 млн. евро. От тях, 111 са в процес на обработка, което представлява близо 65 млн. евро помощ по тях, или 130% от бюджета по приема. През месец януари 2019 г. се очаква оценителен доклад и в последствие административни договори.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приема, който е за реконструкция, ремонт и оборудване на училища, при бюджет 7,5 млн. евро проектните предложения за 17 млн. евро са 41 на брой, от тях 23 са в процес на обработка, следващата седмица предстои публикуване на оценителен доклад и януари месец ще бъдат поканени одобрените кандидати за подписване на административни договори.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При дейности за реконструкция, ремонт и оборудване на детски градини бюджетът е 5 млн. евро по прием. Подадените проектни предложения са 24 за 10 млн. евро заявена субсидия, 15 от тях са в етап административна оценка. Тук графикът за работа на ДФ „Земеделие” е същият. В рамките на следващата седмица ще се публикува оценителният доклад и януари месец ще бъдат поканени одобрените кандидати за подписване на договори.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При процедурата за изграждане на физкултурни салони, бюджетът отново е 7.5 млн. евро. 3.6 млн. евро е заявената стойност на подадените проектни предложения. Тук всички 15 проектни предложения са в процес на обработка и ще бъдат приключени отново до края на декември т.г.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процедурата за площите, бюджетът, определен за приема е в размер на 10 млн.евро.  Петкратен интерес, 49 млн. евро заявена субсидия, 134 проекта, от тях 35 попадат в рамките на 130% от бюджета. В момента са изпратени писма за искане на допълнителна информация към кандидатите, така че, януари също ще бъдат приключени и тези проектни предложения.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отношение на процедурата за спорт, 10 млн.евро бюджет, 5 млн.евро субсидия по 109 проектни предложения, 108 от тях се обработват. Също през декември работата по тях ще бъде приключена, така че януари да бъдат подписани административните договори.</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отношение на процедурата за енергийна ефективност, реконструкция и ремонт на общински сгради, 10 млн.евро бюджет, 13 млн. евро заявена субсидия, 51 проектни предложения, 47 от тях се обработват, в рамките на януари ще бъдат договорени.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подмярка 7.6 няма изменение на данните от миналата година, тъй като всички 87 договора са в процес на изпълнение, голяма част от тях дори имат заявки за междинно плащане, някои от тях и за окончателно плащане, така че, предстои нов прием в рамките на следващата година.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мярка 8, т.наречените „Горски мерки” има 3 подмерки с 3 приема, като по подмярка 8.3. приемът е удължен до 21 декември и работата по подадените  проектни предложения ще стартира януари 2019 г.</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lastRenderedPageBreak/>
        <w:t>По подмярка 8.6. 18 млн.евро е наличният бюджет по процедурата, 39 млн.евро е заявената стойност на субсидията по 197 проекта, 97 от тях са в процес на административна оценка.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подмярка 8.4. бюджетът е 6.8 млн. евро, 3 млн. евро е заявената субсидия по 14 проектни предложения. Тук също няма ограничен бюджет, проектни предложения се оценяват и в рамките на тримесечния срок ще бъдат договорени.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Тематичната подпрограма, или подмярка 4.1.2., при обявен бюджет 12.5 млн.евро и очаквания за много предложения, подадени са само 268  за 3.7 млн.евро. От тях 244 ще бъдат обработени, 24 са анализирани поради дублиране.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процедурата, която приключи на 7 декември, по подмярка 6.4.1. "Инвестиции, насочени към занаяти", при бюджет 3 млн.евро има подадени проектни предложения за 3,081 млн.евро, 29 на брой.</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процедурата за развитие на услуги при бюджет 35 млн.евро са постъпили 507 проекта за малко над 63 млн.евро.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По процедурата за производство на продукти при бюджет 30 млн. евро, има заявена стойност на проектните предложения 38 млн.евро, които са 290 на брой.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подмярка 9, уточни г-жа Вели, при която един от приоритетите за изпълнение на междинните цели, в рамките на утрешния ден, ще бъде публикуван оценителен доклад, за да бъдат поканени кандидатите и за административни договори съответно подаване на заявки за плащане. В тази връзка, от подадените 44 проекта, 38 са допустимите, 33 от тях се обработват, 6 са отказани поради дублиране.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В края на презентацията, г-жа Вели информира за наскоро проведената среща с всички кандидати, за да може да се подпомогне процеса на подготовка на заявки за плащане. Едновременно с подписване на договорите, организациите и групите са обявили, че имат готовност да си заявят разходите. Става въпрос за 11 организации, от тези 33, които в момента са в процес на обработка и с общи усилия и създадена добра организация тези допустими 11 проекта ще бъдат разплатени до 31 декември.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ЦВЕТОМИРА СТАЙКОВА </w:t>
      </w:r>
      <w:r w:rsidRPr="008D41E2">
        <w:rPr>
          <w:rFonts w:ascii="Times New Roman" w:eastAsia="Times New Roman" w:hAnsi="Times New Roman" w:cs="Times New Roman"/>
          <w:sz w:val="24"/>
          <w:szCs w:val="24"/>
          <w:lang w:eastAsia="bg-BG"/>
        </w:rPr>
        <w:t>даде думата за коментар на г-жа Цветанска.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КРИСТИНА ЦВЕТАНСКА </w:t>
      </w:r>
      <w:r w:rsidRPr="008D41E2">
        <w:rPr>
          <w:rFonts w:ascii="Times New Roman" w:eastAsia="Times New Roman" w:hAnsi="Times New Roman" w:cs="Times New Roman"/>
          <w:sz w:val="24"/>
          <w:szCs w:val="24"/>
          <w:lang w:eastAsia="bg-BG"/>
        </w:rPr>
        <w:t>запита за срока за договориране на бюджета на цялата програма по всички мерки и докога е срока, в който ще бъде одобрен и договориран целият ресурс.</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МАЙКЪЛ ПИЛКЕ </w:t>
      </w:r>
      <w:r w:rsidRPr="008D41E2">
        <w:rPr>
          <w:rFonts w:ascii="Times New Roman" w:eastAsia="Times New Roman" w:hAnsi="Times New Roman" w:cs="Times New Roman"/>
          <w:sz w:val="24"/>
          <w:szCs w:val="24"/>
          <w:lang w:eastAsia="bg-BG"/>
        </w:rPr>
        <w:t xml:space="preserve">благодари за въпроса и </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отговори, че този програмен период ще приключи в края на 2023 г. Всички плащания от Разплащателна агенция трябва да приключат до 2023 г. Те са допустими до края на 2023 г.  Договарянето в последния ден не е добра идея, защото ще се прескочи периода на допустимост, така че, до края на 2023  г. трябва да има плащания.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Пилке даде пример за мерки, които са многогодишни ангажименти, последната година ще бъде през 2024 г. Последният път е имало специфични разпоредби, че тези ангажименти могат да бъдат разплатени от новата програма. Т.е., това засяга агроекологичните мерки. След това, инфраструктурни проекти, които са започнали, но не са финализирани. Има подобни уговорки, посочи г-н Пилке, но все още се разработват новите правила за след 2020 г., ще се види как ще бъде процедирано като се има предвид, че последният път са постигнати договорености какво трябва да се плати по новата програма и какво по старата програма.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Г-н Пилке оцени високо работата на Разплащателната агенция затова, че няма риск по отношение на </w:t>
      </w:r>
      <w:r w:rsidRPr="008D41E2">
        <w:rPr>
          <w:rFonts w:ascii="Times New Roman" w:eastAsia="Times New Roman" w:hAnsi="Times New Roman" w:cs="Times New Roman"/>
          <w:sz w:val="24"/>
          <w:szCs w:val="24"/>
          <w:lang w:val="en-US" w:eastAsia="bg-BG"/>
        </w:rPr>
        <w:t>N</w:t>
      </w:r>
      <w:r w:rsidRPr="008D41E2">
        <w:rPr>
          <w:rFonts w:ascii="Times New Roman" w:eastAsia="Times New Roman" w:hAnsi="Times New Roman" w:cs="Times New Roman"/>
          <w:sz w:val="24"/>
          <w:szCs w:val="24"/>
          <w:lang w:eastAsia="bg-BG"/>
        </w:rPr>
        <w:t xml:space="preserve">+3, контактите с бенефициентите са подобрени, положени са усилия да се </w:t>
      </w:r>
      <w:r w:rsidRPr="008D41E2">
        <w:rPr>
          <w:rFonts w:ascii="Times New Roman" w:eastAsia="Times New Roman" w:hAnsi="Times New Roman" w:cs="Times New Roman"/>
          <w:sz w:val="24"/>
          <w:szCs w:val="24"/>
          <w:lang w:eastAsia="bg-BG"/>
        </w:rPr>
        <w:lastRenderedPageBreak/>
        <w:t>разработят процедури с цел избягване на грешки, дублиране на предложения и т.н. и изказа задоволство от усилията, които са направени през последната година на изпълнението на програмата.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благодари на г-н Пилке и го увери, че ще се продължат съвместните усилия с ДФ „Земеделие” за ускоряване на изпълнението на програмата. Думата бе дадена г-жа Цветанска.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КРИСТИНА ЦВЕТАНСКА </w:t>
      </w:r>
      <w:r w:rsidRPr="008D41E2">
        <w:rPr>
          <w:rFonts w:ascii="Times New Roman" w:eastAsia="Times New Roman" w:hAnsi="Times New Roman" w:cs="Times New Roman"/>
          <w:sz w:val="24"/>
          <w:szCs w:val="24"/>
          <w:lang w:eastAsia="bg-BG"/>
        </w:rPr>
        <w:t>благодари за отговора и постави още няколко въпроса,</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свързани със сметките. Първо, подмярка 4.1. прием 2015 г., в който данните са, че сключените договори са за 178 млн.евро, а бюджета е 214 млн. евро по мярката, т.е. по едни много прости сметки има свободен ресурс от 35 млн.евро. От втория прием по мярка 4.1. от бюджет 237 млн. евро, сключените договори са за 216 млн.евро, т.е. още 20 млн.евро има свободен ресурс. Според г-жа Цветанска, съгласно таблиците по подмярка 4.1., има свободен ресурс от 50 млн.евро. Тя поиска малко разяснения в тази посока, тъй като г-жа Вели споменава, че целият ресурс е усвоен, изразходван, а всъщност не се вижда по този начин.</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АТИДЖЕ АЛИЕВА-ВЕЛИ </w:t>
      </w:r>
      <w:r w:rsidRPr="008D41E2">
        <w:rPr>
          <w:rFonts w:ascii="Times New Roman" w:eastAsia="Times New Roman" w:hAnsi="Times New Roman" w:cs="Times New Roman"/>
          <w:sz w:val="24"/>
          <w:szCs w:val="24"/>
          <w:lang w:eastAsia="bg-BG"/>
        </w:rPr>
        <w:t xml:space="preserve"> отговори, че ще провери конкретно за тези 50 млн. евро, тъй като се приключва с обработката на проектите от втория прием, оценени с 55 точки, като кандидатите, които са с одобрени проекти и подписани договори, но все още самият договор не е подписан от двете страни, не са отчетени в тази бройка за договорените средства.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По първия прием има 120 договора, които очакват 20 млн.евро, те са под условие и има проекти, които са изпратени за проверка от външни институции, които ангажират не малко бюджет  между 10 и 15 млн. евро от двата приема общо.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КРИСТИНА ЦВЕТАНСКА </w:t>
      </w:r>
      <w:r w:rsidRPr="008D41E2">
        <w:rPr>
          <w:rFonts w:ascii="Times New Roman" w:eastAsia="Times New Roman" w:hAnsi="Times New Roman" w:cs="Times New Roman"/>
          <w:sz w:val="24"/>
          <w:szCs w:val="24"/>
          <w:lang w:eastAsia="bg-BG"/>
        </w:rPr>
        <w:t>продължи с коментар по представените резултати.</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Във връзка с подмярка 4.2. от общия  ресурс от 230 млн.евро за първи прием, отново съгласно данните представени тук, посочи тя, има сключени договори за 176 млн. евро, т.е., има свободни 54 млн.евро. Във връзка и с предложението на г-н Пилке за ускоряване процеса на изпълнение на програмата и подадените вече по втори прием проекти, надхвърлящи няколко пъти бюджета за втория прием, предложението от страна на тяхната организация, отбеляза     г-жа Цветанска, е да се увеличи бюджета на втория прием с целия свободен ресурс от първия прием на подмярката с оглед на това по-бързо да се изпълнят проекти и да се постигнат заложените цели.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val="en-US"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АТИДЖЕ АЛИЕВА-ВЕЛИ </w:t>
      </w:r>
      <w:r w:rsidRPr="008D41E2">
        <w:rPr>
          <w:rFonts w:ascii="Times New Roman" w:eastAsia="Times New Roman" w:hAnsi="Times New Roman" w:cs="Times New Roman"/>
          <w:sz w:val="24"/>
          <w:szCs w:val="24"/>
          <w:lang w:eastAsia="bg-BG"/>
        </w:rPr>
        <w:t>предложи да се уточнят числата за остатъка. 12,3 млн.евро е остатъка от първия прием, който не е усвоен след увеличението на бюджетите за заявленията, подадени с първия прием през 2015г. 12 млн.евро са ангажирани, тъй като отново има 6 проекта, изпратени до прокуратурата и преди да се произнесе прокуратурата и да приключат досъдебните производства, не може да се произнесе становище по тези проекти. Има 25 млн. евро остатък по мярката, който не е обявен нито в единия, нито в другия прием. Това е по отношение на остатъците.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допълни, че проектите от втория прием по мярка 4.2. все още са в процес на обработка и благодари за предложението, което предстои да бъде обмислено. Когато приключи оценката на подадените проекти до чертата на наличния бюджет, ще има решение как ще се действа с остатъците.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Д-р Василева даде думата на г-жа Милена Недева.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МИЛЕНА НЕДЕВА, кмет на община Каспичан </w:t>
      </w:r>
      <w:r w:rsidRPr="008D41E2">
        <w:rPr>
          <w:rFonts w:ascii="Times New Roman" w:eastAsia="Times New Roman" w:hAnsi="Times New Roman" w:cs="Times New Roman"/>
          <w:sz w:val="24"/>
          <w:szCs w:val="24"/>
          <w:lang w:eastAsia="bg-BG"/>
        </w:rPr>
        <w:t>изрази притеснението си, че от коментираните тук пет приоритета, два са с постигнати междинни цени, а три са далеч от желаните 65%. Добре е, отбеляза г-жа Недева, че МИГ са обхванали над 115% население, но през месец юни следващата година трябва да се отчете 50% изпълнение при условие, че все още не са сключени проекти, няма как да се постигне този показател.</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lastRenderedPageBreak/>
        <w:t>Г-жа Недева зададе въпрос дали означава това, че само за двата приоритета, които обхващат съответните мерки, в които са постигнали междинните цели, ще има допълнително плащане, каквато възможност имат в регламента на Европейската комисия и съответно в другия регламент, който казва, че няма да има междинни плащания, ако не са постигнати междинните цели.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благодари за въпроса каза, че ще даде отговор малко по-късно. Г-жа Стайкова ще представи Напредъка по изпълнение на рамката на изпълнение и ще даде разяснения, ако не се изпълни някой приоритет, какви действия биха могли да се предприемат за пренасочване на средства между различните приоритети.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Д-р Василева даде думата за още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Г-н ТИХОМИР ТОМАНОВ от Асоциация „Общински гори</w:t>
      </w:r>
      <w:r w:rsidRPr="008D41E2">
        <w:rPr>
          <w:rFonts w:ascii="Times New Roman" w:eastAsia="Times New Roman" w:hAnsi="Times New Roman" w:cs="Times New Roman"/>
          <w:sz w:val="24"/>
          <w:szCs w:val="24"/>
          <w:lang w:eastAsia="bg-BG"/>
        </w:rPr>
        <w:t>” поиска да се обърне отново внимание на мярка 8, тъй като е споменато, че по мярка 8.3. е удължен срока и все още не са разпределени никакви проекти за разглеждане. Може би и по тази причина, въпреки че при 17 млн. евро ограничение в бюджета, досега подадените 14 заявления са на стойност 24 млн.евро, т.е. със 7 млн.евро в повече. В същото време, по мярка 8.4. са свободни 3 млн. евро от същите тези 14 проекта, които са подадени, разпределени са за разглеждане 3 млн. евро, там остават 3 млн. евро. По мярка 8.6. са подадени 197 заявления на стойност 39 млн. евро и са разпределени  21 млн. евро за разглеждане при ограничение 18 млн. евро.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Томанов поиска да бъде направен коментар как ще бъдат регулирани тези разлики.  Примерно, по мярка 8.6 са разпределени за разглеждане с 5 млн. евро в повече от ограничението в предварителния бюджет.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АТИДЖЕ АЛИЕВА-ВЕЛИ </w:t>
      </w:r>
      <w:r w:rsidRPr="008D41E2">
        <w:rPr>
          <w:rFonts w:ascii="Times New Roman" w:eastAsia="Times New Roman" w:hAnsi="Times New Roman" w:cs="Times New Roman"/>
          <w:sz w:val="24"/>
          <w:szCs w:val="24"/>
          <w:lang w:eastAsia="bg-BG"/>
        </w:rPr>
        <w:t>поясни, че съгласно чл. 9 от Закона за подпомагане на земеделските производители, с който са въведени основните изменения, е дефинирано предварителното класиране на проектите, че „на първоначална обработка на административно съответствие и допустимост се разпределят до 130% от бюджета на проектите”. Това се прави с цел, в случай че има недопустими проекти и има редукции, да не се преразпределят непрекъснато проекти до 100-те процента на бюджета, а да се печели време и да се обезпечи едновременното подписване на всички договори.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В случай, че от тези 130%, примерно 115% от сумата с </w:t>
      </w:r>
      <w:r w:rsidRPr="008D41E2">
        <w:rPr>
          <w:rFonts w:ascii="Times New Roman" w:eastAsia="Times New Roman" w:hAnsi="Times New Roman" w:cs="Times New Roman"/>
          <w:sz w:val="24"/>
          <w:szCs w:val="24"/>
          <w:lang w:val="en-US" w:eastAsia="bg-BG"/>
        </w:rPr>
        <w:t>N</w:t>
      </w:r>
      <w:r w:rsidRPr="008D41E2">
        <w:rPr>
          <w:rFonts w:ascii="Times New Roman" w:eastAsia="Times New Roman" w:hAnsi="Times New Roman" w:cs="Times New Roman"/>
          <w:sz w:val="24"/>
          <w:szCs w:val="24"/>
          <w:lang w:eastAsia="bg-BG"/>
        </w:rPr>
        <w:t xml:space="preserve"> на брой кандидати са допустими за подпомагане, ще бъдат поканени първо кандидатите </w:t>
      </w:r>
      <w:r w:rsidRPr="008D41E2">
        <w:rPr>
          <w:rFonts w:ascii="Times New Roman" w:eastAsia="Times New Roman" w:hAnsi="Times New Roman" w:cs="Times New Roman"/>
          <w:sz w:val="24"/>
          <w:szCs w:val="24"/>
          <w:lang w:val="en-US" w:eastAsia="bg-BG"/>
        </w:rPr>
        <w:t>N</w:t>
      </w:r>
      <w:r w:rsidRPr="008D41E2">
        <w:rPr>
          <w:rFonts w:ascii="Times New Roman" w:eastAsia="Times New Roman" w:hAnsi="Times New Roman" w:cs="Times New Roman"/>
          <w:sz w:val="24"/>
          <w:szCs w:val="24"/>
          <w:lang w:eastAsia="bg-BG"/>
        </w:rPr>
        <w:t xml:space="preserve"> на брой до 100% от бюджета. В случай, че в 100-те процента попадат проекти с равен брой точки и се класират още 10 или 20 проекта, които надхвърлят вече 100-те процента, ще бъдат поканени до 97-98 проектите, които са оценени с 1 точка или съответно в следващия диапазон. Това е идеята на разглеждането на проекти над бюджета по приема.</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Д</w:t>
      </w:r>
      <w:r w:rsidRPr="008D41E2">
        <w:rPr>
          <w:rFonts w:ascii="Times New Roman" w:eastAsia="Times New Roman" w:hAnsi="Times New Roman" w:cs="Times New Roman"/>
          <w:b/>
          <w:sz w:val="24"/>
          <w:szCs w:val="24"/>
          <w:lang w:eastAsia="bg-BG"/>
        </w:rPr>
        <w:t xml:space="preserve">-р ЛОЗАНА ВАСИЛЕВА </w:t>
      </w:r>
      <w:r w:rsidRPr="008D41E2">
        <w:rPr>
          <w:rFonts w:ascii="Times New Roman" w:eastAsia="Times New Roman" w:hAnsi="Times New Roman" w:cs="Times New Roman"/>
          <w:sz w:val="24"/>
          <w:szCs w:val="24"/>
          <w:lang w:eastAsia="bg-BG"/>
        </w:rPr>
        <w:t>даде думата за други изказвания.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ЯВОР ГЕЧЕВ </w:t>
      </w:r>
      <w:r w:rsidRPr="008D41E2">
        <w:rPr>
          <w:rFonts w:ascii="Times New Roman" w:eastAsia="Times New Roman" w:hAnsi="Times New Roman" w:cs="Times New Roman"/>
          <w:sz w:val="24"/>
          <w:szCs w:val="24"/>
          <w:lang w:eastAsia="bg-BG"/>
        </w:rPr>
        <w:t>зададе въпрос от името на</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малките и средни предприятия към АИКБ какви са плановете по отношение на подмярка 6.4.1. „Туристическа инфраструктура", която е оставена в предишния Комитет за наблюдение без движение, за нея има заделен бюджет, но не се вижда в плановете на УО за отваряне в следващата година по Индикативния график.</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 xml:space="preserve">благодари за въпроса и каза, че ще бъде направен коментар по време на точката за Годишната индикативна работна програма и даде думата  г-н Банев от ДФ "Земеделие" за </w:t>
      </w:r>
      <w:r w:rsidRPr="008D41E2">
        <w:rPr>
          <w:rFonts w:ascii="Times New Roman" w:eastAsia="Times New Roman" w:hAnsi="Times New Roman" w:cs="Times New Roman"/>
          <w:b/>
          <w:sz w:val="24"/>
          <w:szCs w:val="24"/>
          <w:lang w:eastAsia="bg-BG"/>
        </w:rPr>
        <w:t>„Напредъка по компенсаторните мерки”</w:t>
      </w:r>
      <w:r w:rsidRPr="008D41E2">
        <w:rPr>
          <w:rFonts w:ascii="Times New Roman" w:eastAsia="Times New Roman" w:hAnsi="Times New Roman" w:cs="Times New Roman"/>
          <w:sz w:val="24"/>
          <w:szCs w:val="24"/>
          <w:lang w:eastAsia="bg-BG"/>
        </w:rPr>
        <w:t>.</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АНГЕЛ БАНЕВ, експерт в ДФ „Земеделие” </w:t>
      </w:r>
      <w:r w:rsidRPr="008D41E2">
        <w:rPr>
          <w:rFonts w:ascii="Times New Roman" w:eastAsia="Times New Roman" w:hAnsi="Times New Roman" w:cs="Times New Roman"/>
          <w:sz w:val="24"/>
          <w:szCs w:val="24"/>
          <w:lang w:eastAsia="bg-BG"/>
        </w:rPr>
        <w:t>направи кратка презентация относно напредъка по малките мерки.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Напредък по мерки 10 и 11</w:t>
      </w:r>
      <w:r w:rsidRPr="008D41E2">
        <w:rPr>
          <w:rFonts w:ascii="Times New Roman" w:eastAsia="Times New Roman" w:hAnsi="Times New Roman" w:cs="Times New Roman"/>
          <w:sz w:val="24"/>
          <w:szCs w:val="24"/>
          <w:lang w:eastAsia="bg-BG"/>
        </w:rPr>
        <w:t xml:space="preserve">. По мярка 10 са подадени около 5500 заявления, а по мярка 11 - 3800 броя, като с всяко едно заявление може да се кандидатства по няколко направления. </w:t>
      </w:r>
      <w:r w:rsidRPr="008D41E2">
        <w:rPr>
          <w:rFonts w:ascii="Times New Roman" w:eastAsia="Times New Roman" w:hAnsi="Times New Roman" w:cs="Times New Roman"/>
          <w:sz w:val="24"/>
          <w:szCs w:val="24"/>
          <w:lang w:eastAsia="bg-BG"/>
        </w:rPr>
        <w:lastRenderedPageBreak/>
        <w:t>Направена бе и съпоставка на направленията по двете мерки за тази година - изплатените средства по двете мерки и процента на изпълнение на база разплатени заявления и поети ангажименти спрямо общия бюджет. По мярка 10 са изпълнени 92%, по мярка 11 са изплатени 100%. Изплатените суми към 7 декември 2018г. са съответно по мярка 10 са 113 млн.евро, а по мярка 11 са близо 84 млн.евро.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Напредък по мярка 12 „Плащания по НАТУРА и рамковата директива”. </w:t>
      </w:r>
      <w:r w:rsidRPr="008D41E2">
        <w:rPr>
          <w:rFonts w:ascii="Times New Roman" w:eastAsia="Times New Roman" w:hAnsi="Times New Roman" w:cs="Times New Roman"/>
          <w:sz w:val="24"/>
          <w:szCs w:val="24"/>
          <w:lang w:eastAsia="bg-BG"/>
        </w:rPr>
        <w:t>По мярка 12 за 2018г. са кандидатствали близо 11 600 бенефициента. Оторизираната сума за кампания 2017г. е около 44 млн. евро, като към момента плащанията за мярка 12 от началото на програмния период са в размер на около 67 млн.евро.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Напредък по мярка 13. </w:t>
      </w:r>
      <w:r w:rsidRPr="008D41E2">
        <w:rPr>
          <w:rFonts w:ascii="Times New Roman" w:eastAsia="Times New Roman" w:hAnsi="Times New Roman" w:cs="Times New Roman"/>
          <w:sz w:val="24"/>
          <w:szCs w:val="24"/>
          <w:lang w:eastAsia="bg-BG"/>
        </w:rPr>
        <w:t>За мярка 13 през 2018 г. са подадени около 33 000 заявления. До момента по двете подмерки 13.1. и 13.2. са изплатени около 136 млн.евро.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Напредък по мярка 14</w:t>
      </w:r>
      <w:r w:rsidRPr="008D41E2">
        <w:rPr>
          <w:rFonts w:ascii="Times New Roman" w:eastAsia="Times New Roman" w:hAnsi="Times New Roman" w:cs="Times New Roman"/>
          <w:sz w:val="24"/>
          <w:szCs w:val="24"/>
          <w:lang w:eastAsia="bg-BG"/>
        </w:rPr>
        <w:t xml:space="preserve"> </w:t>
      </w:r>
      <w:r w:rsidRPr="008D41E2">
        <w:rPr>
          <w:rFonts w:ascii="Times New Roman" w:eastAsia="Times New Roman" w:hAnsi="Times New Roman" w:cs="Times New Roman"/>
          <w:b/>
          <w:sz w:val="24"/>
          <w:szCs w:val="24"/>
          <w:lang w:eastAsia="bg-BG"/>
        </w:rPr>
        <w:t xml:space="preserve">„Хуманно отношение към животните”. </w:t>
      </w:r>
      <w:r w:rsidRPr="008D41E2">
        <w:rPr>
          <w:rFonts w:ascii="Times New Roman" w:eastAsia="Times New Roman" w:hAnsi="Times New Roman" w:cs="Times New Roman"/>
          <w:sz w:val="24"/>
          <w:szCs w:val="24"/>
          <w:lang w:eastAsia="bg-BG"/>
        </w:rPr>
        <w:t>По приема за 2017г. към момента са оторизирани близо 1 500 млн.евро. Подадените заявления са около 650. За 2018г. се одобряват само заявления от 2017г.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 xml:space="preserve">благодари за информацията и даде думата на г-жа Цветомира Стайкова, директор на дирекция „РСР” в МЗХГ да представи </w:t>
      </w:r>
      <w:r w:rsidRPr="008D41E2">
        <w:rPr>
          <w:rFonts w:ascii="Times New Roman" w:eastAsia="Times New Roman" w:hAnsi="Times New Roman" w:cs="Times New Roman"/>
          <w:b/>
          <w:i/>
          <w:sz w:val="24"/>
          <w:szCs w:val="24"/>
          <w:lang w:eastAsia="bg-BG"/>
        </w:rPr>
        <w:t xml:space="preserve">Информация за напредъка на ПРСР </w:t>
      </w:r>
      <w:r w:rsidRPr="008D41E2">
        <w:rPr>
          <w:rFonts w:ascii="Times New Roman" w:eastAsia="Times New Roman" w:hAnsi="Times New Roman" w:cs="Times New Roman"/>
          <w:b/>
          <w:i/>
          <w:sz w:val="24"/>
          <w:szCs w:val="24"/>
          <w:lang w:val="en-US" w:eastAsia="bg-BG"/>
        </w:rPr>
        <w:t xml:space="preserve">( 2014-2020) </w:t>
      </w:r>
      <w:r w:rsidRPr="008D41E2">
        <w:rPr>
          <w:rFonts w:ascii="Times New Roman" w:eastAsia="Times New Roman" w:hAnsi="Times New Roman" w:cs="Times New Roman"/>
          <w:b/>
          <w:i/>
          <w:sz w:val="24"/>
          <w:szCs w:val="24"/>
          <w:lang w:eastAsia="bg-BG"/>
        </w:rPr>
        <w:t>– постигане на междинните цели</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ЦВЕТОМИРА СТАЙКОВА </w:t>
      </w:r>
      <w:r w:rsidRPr="008D41E2">
        <w:rPr>
          <w:rFonts w:ascii="Times New Roman" w:eastAsia="Times New Roman" w:hAnsi="Times New Roman" w:cs="Times New Roman"/>
          <w:sz w:val="24"/>
          <w:szCs w:val="24"/>
          <w:lang w:eastAsia="bg-BG"/>
        </w:rPr>
        <w:t xml:space="preserve">представи напредъка по изпълнение на индикаторите, включени в различните приоритети на Рамката за изпълнение на ПРСР.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Приоритет 2. </w:t>
      </w:r>
      <w:r w:rsidRPr="008D41E2">
        <w:rPr>
          <w:rFonts w:ascii="Times New Roman" w:eastAsia="Times New Roman" w:hAnsi="Times New Roman" w:cs="Times New Roman"/>
          <w:sz w:val="24"/>
          <w:szCs w:val="24"/>
          <w:lang w:eastAsia="bg-BG"/>
        </w:rPr>
        <w:t>Данните за приоритета са към 1 ноември 2018 г., в преизпълнение и по двата индикатора, т.е., няма проблем с постигане на индикаторите и на поставените междинни цели за 2018 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Приоритет 3. </w:t>
      </w:r>
      <w:r w:rsidRPr="008D41E2">
        <w:rPr>
          <w:rFonts w:ascii="Times New Roman" w:eastAsia="Times New Roman" w:hAnsi="Times New Roman" w:cs="Times New Roman"/>
          <w:sz w:val="24"/>
          <w:szCs w:val="24"/>
          <w:lang w:eastAsia="bg-BG"/>
        </w:rPr>
        <w:t>По приоритет 3, по данни от ДФ „Земеделие” към 1 декември, са констатирани известни рискове по неизпълнение на индикатора „Брой на операции, подпомогнати по мярка 4.2. „Преработка и маркетинг на земеделска продукция”. Индикаторът е 90 броя подпомогнати операции. Към 1 ноември са били постигнати 52, което е 57.8%. За да няма риск процентът трябва да надвишава 65%. Към 1 декември това вече е постигнато благодарение на усилията на ДФ „Земеделие” и ускореното разплащане на подадените заявки за плащане по подмярка 4.2. Информацията, която в момента се презентира, вече не е актуална - към 1 декември е 65.6%  като стойността до края на годината със сигурност ще надвиши и 75%.</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Стайкова поясни, че по този приоритет остава един индикатор под риск. Това е индикаторът, за чието постигане се разчита най-много на разплащанията по подадени и одобрени отскоро проекти по мярка 9 „Създаване на групи организации на производители”. Обърна внимание, че този брой 90 е всъщност стойността на междинната цел, брой на земеделските производители, членуващи в одобрени организации на производители. Усилията са насочени към стимулиране одобрените кандидати, които са регистрирани и признати като организации или групи на производители през 2018 г. Те са 11 на брой от последния прием по мярка 9 и те трябва  да си подадат заявките за плащане до края на годината, за да дадат възможност на ДФ „Земеделие” в последните дни на годината да извършат плащания към тях и да се изпълни този индикатор.</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Приоритет 4. </w:t>
      </w:r>
      <w:r w:rsidRPr="008D41E2">
        <w:rPr>
          <w:rFonts w:ascii="Times New Roman" w:eastAsia="Times New Roman" w:hAnsi="Times New Roman" w:cs="Times New Roman"/>
          <w:sz w:val="24"/>
          <w:szCs w:val="24"/>
          <w:lang w:eastAsia="bg-BG"/>
        </w:rPr>
        <w:t>по отношение на постигане на целта за 2018 г. е в преизпълнение и не е констатиран риск.</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Приоритет 5. </w:t>
      </w:r>
      <w:r w:rsidRPr="008D41E2">
        <w:rPr>
          <w:rFonts w:ascii="Times New Roman" w:eastAsia="Times New Roman" w:hAnsi="Times New Roman" w:cs="Times New Roman"/>
          <w:sz w:val="24"/>
          <w:szCs w:val="24"/>
          <w:lang w:eastAsia="bg-BG"/>
        </w:rPr>
        <w:t xml:space="preserve">По този приоритет, един от индикаторите е преизпълнен. Остава още един, който ако се изпълни над 65% , ще бъдем извън риск. Вниманието е насочено към индикатора „Брой на инвестиционните операции в енергоспестяването и енергийна ефективност” и в </w:t>
      </w:r>
      <w:r w:rsidRPr="008D41E2">
        <w:rPr>
          <w:rFonts w:ascii="Times New Roman" w:eastAsia="Times New Roman" w:hAnsi="Times New Roman" w:cs="Times New Roman"/>
          <w:sz w:val="24"/>
          <w:szCs w:val="24"/>
          <w:lang w:eastAsia="bg-BG"/>
        </w:rPr>
        <w:lastRenderedPageBreak/>
        <w:t>„Производство на възобновявани енергоизточници”. Голяма част от проектите, които се подават са по подмярка 4.3.1. и по подмярка 4.2 – това са най-атрактивните подмерки на програмата с традиционно голям интерес от страна на бенефициентите.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Стайкова отбеляза, че има достатъчно много договорени проекти, но за да се достигне индикатора, трябва да има и разплащания по тях. Разходите по тези проекти много често допринасят за няколко фокус-области. Така например, един проект, който е подаден от млад фермер по подмярка 4.1. в областта на биологичното производство, едновременно с всичко това допринася и за подобряване на конкурентоспособността</w:t>
      </w:r>
      <w:r w:rsidRPr="008D41E2">
        <w:rPr>
          <w:rFonts w:ascii="Times New Roman" w:eastAsia="Times New Roman" w:hAnsi="Times New Roman" w:cs="Times New Roman"/>
          <w:sz w:val="24"/>
          <w:szCs w:val="24"/>
          <w:lang w:val="en-US" w:eastAsia="bg-BG"/>
        </w:rPr>
        <w:t xml:space="preserve"> </w:t>
      </w:r>
      <w:r w:rsidRPr="008D41E2">
        <w:rPr>
          <w:rFonts w:ascii="Times New Roman" w:eastAsia="Times New Roman" w:hAnsi="Times New Roman" w:cs="Times New Roman"/>
          <w:sz w:val="24"/>
          <w:szCs w:val="24"/>
          <w:lang w:eastAsia="bg-BG"/>
        </w:rPr>
        <w:t>на стопанството, поради което често разходите по тези проекти могат да бъдат отнасяни и допринасят към няколко фокус-области.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След проведени разговори с ЕК, срещи и разговори с Разплащателна агенция, са  предприети мерки за прецизиране на методиката за отнасяне на приноса на проектите по мярка 4 към повече от една фокус-област и това са усилията, които се полагат в момента.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Предприети са мерки по ускоряване на изпълнението, включени са клаузи, чрез които се стимулират кандидатите по-бързо и своевременно да изпълняват проектите си, като представят в рамките на шест месеца или една година, в зависимост от това дали проектите включват разходи само за закупуване на оборудване и/или за изпълнение на строително-монтажни работи, на документи, удостоверяващи равен старт на изпълнението, в т.ч. приемно-предавателни протоколи, фактури, платежни нареждания за извършени разплащания между бенефициентите и избраните от тях изпълнители.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Приоритет 6.</w:t>
      </w:r>
      <w:r w:rsidRPr="008D41E2">
        <w:rPr>
          <w:rFonts w:ascii="Times New Roman" w:eastAsia="Times New Roman" w:hAnsi="Times New Roman" w:cs="Times New Roman"/>
          <w:sz w:val="24"/>
          <w:szCs w:val="24"/>
          <w:lang w:eastAsia="bg-BG"/>
        </w:rPr>
        <w:t xml:space="preserve"> Това е първият приоритет, по който още в началото на тази година и в края на предходната 2017 г., е идентифициран риск от неизпълнение. Проведени  са няколко срещи, в т.ч. Годишната среща за изпълнение на програмата, проведена в началото на тази година в Брюксел, Техническата среща преди предходното заседание на  КН в края на февруари месец 2018 г. На 19 юли е проведена среща по искане на УО на тема „Изпълнение на междинните цели, рискове, възможни корективни действия”. На всички тези срещи много подробно са коментирани причините, довели до тези рискове и възможните корективни действия. Изработен е и се изпълнява План за действие от началото на годината. Проведени са многократни срещи с бенефициентите, най-вече по мярка 7 (общини, читалища), изпълнението на чиито проекти и разплащането съответно биха довели до изпълнение на два от индикаторите в приоритет 6.</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Със съдействието на Светия синод Работната група за европейски проекти към Светия синод е провела срещи и с митрополитите с елементи на разяснения как биха могли да допринесат за постигане на индикаторите. На всички срещи са присъствали и активно са участвали представители на ДФ „Земеделие”, които са дали ясни указания какви са необходимите стъпки, които трябва да се предприемат и какъв е видът на документите, които се признават.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В края на февруари и месец март са проведени срещи с кметове на общини със сключени вече договори по програмата по мярка 7.2. в различни части на страната. През месец ноември са проведени срещи с кметове и експерти, работещи по европейски проекти от самите общини. Те са насочени към проекти, по които вече са съгласувани, одобрени и проведени обществени поръчки, със сключени анекси с ДФ „Земеделие”, те са тези, от които може да се очаква най-скоростно изпълнение.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Стайкова изрази надежда да се постигнат или поне в значителна част да се подобри изпълнението на индикатор „Брой операции, подпомогнати с цел подобряване на основни услуги и инфраструктура в селските райони”, по който допринасят проектите по мярка 7. По отношение на Общи публични разходи прогнозата е негативна и усилията са насочени изцяло към броя на постигнати операции.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Д-р ЛОЗАНА ВАСИЛЕВА</w:t>
      </w:r>
      <w:r w:rsidRPr="008D41E2">
        <w:rPr>
          <w:rFonts w:ascii="Times New Roman" w:eastAsia="Times New Roman" w:hAnsi="Times New Roman" w:cs="Times New Roman"/>
          <w:sz w:val="24"/>
          <w:szCs w:val="24"/>
          <w:lang w:eastAsia="bg-BG"/>
        </w:rPr>
        <w:t xml:space="preserve"> благодари на г-жа Стайкова за предоставената информация, а така също и на г-н Майкъл Пилке и на г-жа Елица Живкова за помощта, която са оказали и </w:t>
      </w:r>
      <w:r w:rsidRPr="008D41E2">
        <w:rPr>
          <w:rFonts w:ascii="Times New Roman" w:eastAsia="Times New Roman" w:hAnsi="Times New Roman" w:cs="Times New Roman"/>
          <w:sz w:val="24"/>
          <w:szCs w:val="24"/>
          <w:lang w:eastAsia="bg-BG"/>
        </w:rPr>
        <w:lastRenderedPageBreak/>
        <w:t>възможността детайлно и многократно да се намерят най-подходящите мерки, така че максимално да се изпълнят поставените междинни цели.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Д-р Василева даде думата за коментари.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Г-н ИВАН  ГЛАВЧОВСКИ, Коалиция за устойчиво развитие</w:t>
      </w:r>
      <w:r w:rsidRPr="008D41E2">
        <w:rPr>
          <w:rFonts w:ascii="Times New Roman" w:eastAsia="Times New Roman" w:hAnsi="Times New Roman" w:cs="Times New Roman"/>
          <w:sz w:val="24"/>
          <w:szCs w:val="24"/>
          <w:lang w:eastAsia="bg-BG"/>
        </w:rPr>
        <w:t xml:space="preserve"> зададе въпрос относно неизпълнението на проектите по 4.2. До 1 ноември са дадени 50 и няколко проекта, колко от тези проекти са от първото подписване на договорите и колко са от август месец?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отговори, че в момента не може да даде такава детайлна справка. За постигането на индикаторите е важен общият брой.</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Д-р Василева прекрати работата на КН и покани присъстващите членове на обяд. Заседанието ще продължи от 13.30 часа..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обяви обедна почивка.</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След обедната почивка заседанието на Комитета за наблюдение продължи по точка 5-та дневния ред. Към присъстващите се присъедини г-жа Петя Славчева – зам. изпълнителен директор на ДФ „Земеделие”, отговорна за компенсаторните мерки.</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г-н Михаил Карабельов, за доклад по точка 5 - представяне на действията, които извършва компетентното звено по отношение на биологично земеделие в последните две години – 2017 и 2018 г.</w:t>
      </w:r>
    </w:p>
    <w:p w:rsidR="008D41E2" w:rsidRPr="008D41E2" w:rsidRDefault="008D41E2" w:rsidP="008D41E2">
      <w:pPr>
        <w:widowControl/>
        <w:spacing w:after="0" w:line="240" w:lineRule="auto"/>
        <w:rPr>
          <w:rFonts w:ascii="Times New Roman" w:eastAsia="Times New Roman" w:hAnsi="Times New Roman" w:cs="Times New Roman"/>
          <w:b/>
          <w:bCs/>
          <w:sz w:val="24"/>
          <w:szCs w:val="24"/>
          <w:u w:val="single"/>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МИХАИЛ КАРАБЕЛЬОВ директор на Дирекция „Растениевъдство и биологично земеделие”, МЗХГ </w:t>
      </w:r>
      <w:r w:rsidRPr="008D41E2">
        <w:rPr>
          <w:rFonts w:ascii="Times New Roman" w:eastAsia="Times New Roman" w:hAnsi="Times New Roman" w:cs="Times New Roman"/>
          <w:sz w:val="24"/>
          <w:szCs w:val="24"/>
          <w:lang w:eastAsia="bg-BG"/>
        </w:rPr>
        <w:t>запозна присъстващите с дейността на звеното.</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За 2017 г. са извършени надзорни проверки на всички контролиращи лица, допълнително са извършени физически проверки на оператори с дейност „пчеларство”, като целта е да се покрият първите сертификати, които са получили кандидатите по мярка 11. В допълнение на надзорните проверки са извършени 28 директни проверки на пчелари. Резултатите от проверките са изпратени на ДФ „Земеделие” с цел те да бъдат отразени, ако има несъответствие в изплащането на средства по мярка 11, когато тези оператори са кандидати по мярка 11.</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През 2017 г. е налице ръст на приложените мерки спрямо операторите, като ръстът спрямо 2016 г. е 25%. Въведено е изискване контролиращите лица през 2017 г. да докладват в рамките на 3 работни дни всяко сериозно нарушение на операторите в Разплащателната агенция, като в случай на отнемане на документ по чл. 29, с нови разпоредби в нормативната база, на кандидат, на който е отнет този документ се отказва финансово подпомагане за две последователни години.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През 2018г. е завишен броят на административни и физически проверки като административната проверка обхваща поне 1% от досиетата при всяко контролиращо лице. Компетентното звено проверява не по-малко от 4 оператора при всяко контролиращо лице, като не по-малко от 4 оператора извършва физическа проверка, той проверява процента, който е заложил плюс допълнителните  проверки, но на не по-малко от 4 оператора присъства на физическа проверка заедно с контролиращо лице.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Обобщена информация за резултатите, извършени от надзора през 2018 г. ще бъдат изпратени на ДФ „Земеделие”, така че да бъдат отразени в одобряването на финансовата помощ за кампания 2018г.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Г-н Карабельов подчерта, че предвид провежданите одити през годините, са предприети редица инициативи, включително и законодателни, за изменения на приложими закони и наредби. В момента действаща е новата Наредба 5 за контрол на биологичното производство, в ход е процедурата и предстои на второ четене в Народното събрание на Закона за общата организация </w:t>
      </w:r>
      <w:r w:rsidRPr="008D41E2">
        <w:rPr>
          <w:rFonts w:ascii="Times New Roman" w:eastAsia="Times New Roman" w:hAnsi="Times New Roman" w:cs="Times New Roman"/>
          <w:sz w:val="24"/>
          <w:szCs w:val="24"/>
          <w:lang w:eastAsia="bg-BG"/>
        </w:rPr>
        <w:lastRenderedPageBreak/>
        <w:t>на пазарите, чрез който се въвеждат допълнителни финансови санкции за оператори в случаи на неспазване. Съответно, всички процедури в компетентното звено се актуализират като ежегоден преглед най-късно до 1 декември.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По отношение на административния капацитет на компетентното звено се извършват регулярни обучения, включително и в други държави от ЕС, както и обучения, провеждани от ЕК. Очаква се скоро капацитетът на звеното да бъде засилен с нови служители, така че да може да се покрие увеличената работа в дирекцията.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г-н Банев относно дейността на ДФ „Земеделие”.</w:t>
      </w:r>
    </w:p>
    <w:p w:rsidR="008D41E2" w:rsidRPr="008D41E2" w:rsidRDefault="008D41E2" w:rsidP="008D41E2">
      <w:pPr>
        <w:widowControl/>
        <w:spacing w:after="0" w:line="240" w:lineRule="auto"/>
        <w:jc w:val="both"/>
        <w:rPr>
          <w:rFonts w:ascii="Times New Roman" w:eastAsia="Times New Roman" w:hAnsi="Times New Roman" w:cs="Times New Roman"/>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АНГЕЛ БАНЕВ </w:t>
      </w:r>
      <w:r w:rsidRPr="008D41E2">
        <w:rPr>
          <w:rFonts w:ascii="Times New Roman" w:eastAsia="Times New Roman" w:hAnsi="Times New Roman" w:cs="Times New Roman"/>
          <w:sz w:val="24"/>
          <w:szCs w:val="24"/>
          <w:lang w:eastAsia="bg-BG"/>
        </w:rPr>
        <w:t>изтъкна, че от страна на ДФ „Земеделие” продължава разширения контрол на бенефициентите, кандидатстващи по биологичното земеделие, без значение от направлението – пчеларство, растениевъдство или животновъдство. Този контрол ще продължи и със следващи кампании. Контролиращото лице отбелязва дали се спазват изискванията на биологичния регламент и, ако е наложена съответна мярка от Наредба № 5. При отбелязване на мярка 5.4. не се получава финансово подпомагане за текущата и за следващата година. При отбелязване на всяка една от другите мерки, не се изплаща финансово подпомагане.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Банев подчерта, че комуникацията с МЗХГ се подобрява значително, при всяко едно уведомяване от компетентния орган, се вземат предвид резултатите. Всички резултати  от надзорните проверки са взети предвид при финансовото подпомагане за 2017г. Това ще е процедурата и за следващите кампании. Преди изчисляване на финансовото подпомагане, ще се предоставят данните и ще се вземат предвид при плащането.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 xml:space="preserve">даде думата за коментари или въпроси.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МАЙКЪЛ ПИЛКЕ </w:t>
      </w:r>
      <w:r w:rsidRPr="008D41E2">
        <w:rPr>
          <w:rFonts w:ascii="Times New Roman" w:eastAsia="Times New Roman" w:hAnsi="Times New Roman" w:cs="Times New Roman"/>
          <w:sz w:val="24"/>
          <w:szCs w:val="24"/>
          <w:lang w:eastAsia="bg-BG"/>
        </w:rPr>
        <w:t>благодари за</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 xml:space="preserve">обзора на конкретните действия и изрази становище, че имат известни опасения по отношение на качеството на контрола на биологичното производство. Той  приветства засилването на контрола по тази мярка, която не трябва да бъде компрометирана от бенефициенти, които не са предоставили онова, което се изисква от тях. Г-н Пилке попита как се осъществява проверката от ДФ „Земеделие” и дали се прилага правилото за 65%.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АНГЕЛ БАНЕВ </w:t>
      </w:r>
      <w:r w:rsidRPr="008D41E2">
        <w:rPr>
          <w:rFonts w:ascii="Times New Roman" w:eastAsia="Times New Roman" w:hAnsi="Times New Roman" w:cs="Times New Roman"/>
          <w:sz w:val="24"/>
          <w:szCs w:val="24"/>
          <w:lang w:eastAsia="bg-BG"/>
        </w:rPr>
        <w:t>уточни, че извадката за проверка</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е на място на кандидати за биологично земеделие, като в зависимост от резултатите, същият може да бъде увеличен за следващата кампания.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МАЙКЪЛ ПИЛКЕ </w:t>
      </w:r>
      <w:r w:rsidRPr="008D41E2">
        <w:rPr>
          <w:rFonts w:ascii="Times New Roman" w:eastAsia="Times New Roman" w:hAnsi="Times New Roman" w:cs="Times New Roman"/>
          <w:sz w:val="24"/>
          <w:szCs w:val="24"/>
          <w:lang w:eastAsia="bg-BG"/>
        </w:rPr>
        <w:t>попита също дали тази проверка на място касае съдържанието, изискванията по отношение на биологичното производство или пък има нещо по-различно от онова, което проверяват контролиращите лица.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АНГЕЛ БАНЕВ </w:t>
      </w:r>
      <w:r w:rsidRPr="008D41E2">
        <w:rPr>
          <w:rFonts w:ascii="Times New Roman" w:eastAsia="Times New Roman" w:hAnsi="Times New Roman" w:cs="Times New Roman"/>
          <w:sz w:val="24"/>
          <w:szCs w:val="24"/>
          <w:lang w:eastAsia="bg-BG"/>
        </w:rPr>
        <w:t>отговори, че</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това, което проверяват контролиращите лица се проверява и от експертите на ДФ „Земеделие” на място, плюс всички критерии за допустимост за земеделска площ и животни.</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МАЙКЪЛ ПИЛКЕ </w:t>
      </w:r>
      <w:r w:rsidRPr="008D41E2">
        <w:rPr>
          <w:rFonts w:ascii="Times New Roman" w:eastAsia="Times New Roman" w:hAnsi="Times New Roman" w:cs="Times New Roman"/>
          <w:sz w:val="24"/>
          <w:szCs w:val="24"/>
          <w:lang w:eastAsia="bg-BG"/>
        </w:rPr>
        <w:t>подчерта, че е много важно да се види, че рисковете, свързани с някои мерки са добре покрити и че има плащания, които се осъществяват в съответствие с правилата и са предоставени на бенефициенти, които изпълняват своите ангажименти.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даде думата г-н Стефан Спасов, началник на отдел, който да представи </w:t>
      </w:r>
      <w:r w:rsidRPr="008D41E2">
        <w:rPr>
          <w:rFonts w:ascii="Times New Roman" w:eastAsia="Times New Roman" w:hAnsi="Times New Roman" w:cs="Times New Roman"/>
          <w:b/>
          <w:bCs/>
          <w:sz w:val="24"/>
          <w:szCs w:val="24"/>
          <w:lang w:eastAsia="bg-BG"/>
        </w:rPr>
        <w:t>напредъка по изпълнение на стратегиите за ВОМР.</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
          <w:sz w:val="24"/>
          <w:szCs w:val="24"/>
          <w:u w:val="single"/>
          <w:lang w:eastAsia="bg-BG"/>
        </w:rPr>
        <w:t>Точка 5. 1. Текущ отчет за изпълнението на стратегиите за ВОМР.</w:t>
      </w:r>
    </w:p>
    <w:p w:rsidR="008D41E2" w:rsidRPr="008D41E2" w:rsidRDefault="008D41E2" w:rsidP="008D41E2">
      <w:pPr>
        <w:widowControl/>
        <w:spacing w:after="0" w:line="240" w:lineRule="auto"/>
        <w:rPr>
          <w:rFonts w:ascii="Times New Roman" w:eastAsia="Times New Roman" w:hAnsi="Times New Roman" w:cs="Times New Roman"/>
          <w:b/>
          <w:bCs/>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lastRenderedPageBreak/>
        <w:t xml:space="preserve">Г-н СТЕФАН СПАСОВ </w:t>
      </w:r>
      <w:r w:rsidRPr="008D41E2">
        <w:rPr>
          <w:rFonts w:ascii="Times New Roman" w:eastAsia="Times New Roman" w:hAnsi="Times New Roman" w:cs="Times New Roman"/>
          <w:bCs/>
          <w:sz w:val="24"/>
          <w:szCs w:val="24"/>
          <w:lang w:eastAsia="bg-BG"/>
        </w:rPr>
        <w:t>посочи, че по</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подхода „Водено от общностите местно развитие”</w:t>
      </w:r>
      <w:r w:rsidRPr="008D41E2">
        <w:rPr>
          <w:rFonts w:ascii="Times New Roman" w:eastAsia="Times New Roman" w:hAnsi="Times New Roman" w:cs="Times New Roman"/>
          <w:bCs/>
          <w:sz w:val="24"/>
          <w:szCs w:val="24"/>
          <w:lang w:eastAsia="bg-BG"/>
        </w:rPr>
        <w:t xml:space="preserve"> </w:t>
      </w:r>
      <w:r w:rsidRPr="008D41E2">
        <w:rPr>
          <w:rFonts w:ascii="Times New Roman" w:eastAsia="Times New Roman" w:hAnsi="Times New Roman" w:cs="Times New Roman"/>
          <w:bCs/>
          <w:sz w:val="24"/>
          <w:szCs w:val="24"/>
          <w:lang w:val="en-US" w:eastAsia="bg-BG"/>
        </w:rPr>
        <w:t>(</w:t>
      </w:r>
      <w:r w:rsidRPr="008D41E2">
        <w:rPr>
          <w:rFonts w:ascii="Times New Roman" w:eastAsia="Times New Roman" w:hAnsi="Times New Roman" w:cs="Times New Roman"/>
          <w:bCs/>
          <w:sz w:val="24"/>
          <w:szCs w:val="24"/>
          <w:lang w:eastAsia="bg-BG"/>
        </w:rPr>
        <w:t>ВОМР</w:t>
      </w:r>
      <w:r w:rsidRPr="008D41E2">
        <w:rPr>
          <w:rFonts w:ascii="Times New Roman" w:eastAsia="Times New Roman" w:hAnsi="Times New Roman" w:cs="Times New Roman"/>
          <w:bCs/>
          <w:sz w:val="24"/>
          <w:szCs w:val="24"/>
          <w:lang w:val="en-US" w:eastAsia="bg-BG"/>
        </w:rPr>
        <w:t>)</w:t>
      </w:r>
      <w:r w:rsidRPr="008D41E2">
        <w:rPr>
          <w:rFonts w:ascii="Times New Roman" w:eastAsia="Times New Roman" w:hAnsi="Times New Roman" w:cs="Times New Roman"/>
          <w:sz w:val="24"/>
          <w:szCs w:val="24"/>
          <w:lang w:eastAsia="bg-BG"/>
        </w:rPr>
        <w:t xml:space="preserve"> нещата към момента са доста динамични. Местните инициативни групи </w:t>
      </w:r>
      <w:r w:rsidRPr="008D41E2">
        <w:rPr>
          <w:rFonts w:ascii="Times New Roman" w:eastAsia="Times New Roman" w:hAnsi="Times New Roman" w:cs="Times New Roman"/>
          <w:sz w:val="24"/>
          <w:szCs w:val="24"/>
          <w:lang w:val="en-US" w:eastAsia="bg-BG"/>
        </w:rPr>
        <w:t>(</w:t>
      </w:r>
      <w:r w:rsidRPr="008D41E2">
        <w:rPr>
          <w:rFonts w:ascii="Times New Roman" w:eastAsia="Times New Roman" w:hAnsi="Times New Roman" w:cs="Times New Roman"/>
          <w:sz w:val="24"/>
          <w:szCs w:val="24"/>
          <w:lang w:eastAsia="bg-BG"/>
        </w:rPr>
        <w:t>МИГ</w:t>
      </w:r>
      <w:r w:rsidRPr="008D41E2">
        <w:rPr>
          <w:rFonts w:ascii="Times New Roman" w:eastAsia="Times New Roman" w:hAnsi="Times New Roman" w:cs="Times New Roman"/>
          <w:sz w:val="24"/>
          <w:szCs w:val="24"/>
          <w:lang w:val="en-US" w:eastAsia="bg-BG"/>
        </w:rPr>
        <w:t>)</w:t>
      </w:r>
      <w:r w:rsidRPr="008D41E2">
        <w:rPr>
          <w:rFonts w:ascii="Times New Roman" w:eastAsia="Times New Roman" w:hAnsi="Times New Roman" w:cs="Times New Roman"/>
          <w:sz w:val="24"/>
          <w:szCs w:val="24"/>
          <w:lang w:eastAsia="bg-BG"/>
        </w:rPr>
        <w:t xml:space="preserve"> откриват доста процедури за проекти. От началото на Подхода за </w:t>
      </w:r>
      <w:r w:rsidRPr="008D41E2">
        <w:rPr>
          <w:rFonts w:ascii="Times New Roman" w:eastAsia="Times New Roman" w:hAnsi="Times New Roman" w:cs="Times New Roman"/>
          <w:sz w:val="24"/>
          <w:szCs w:val="24"/>
          <w:lang w:val="en-US" w:eastAsia="bg-BG"/>
        </w:rPr>
        <w:t>ВОМР</w:t>
      </w:r>
      <w:r w:rsidRPr="008D41E2">
        <w:rPr>
          <w:rFonts w:ascii="Times New Roman" w:eastAsia="Times New Roman" w:hAnsi="Times New Roman" w:cs="Times New Roman"/>
          <w:sz w:val="24"/>
          <w:szCs w:val="24"/>
          <w:lang w:eastAsia="bg-BG"/>
        </w:rPr>
        <w:t>, този период се прилага по една схема, която включва доста участници, както от миналия период и МЗХГ, респективно УО за ПРСР, който е отговорния управляващ орган по подхода и ДФ  „Земеделие“ - Разплащателна агенция. Към тях в настоящия период има още четири управляващи органа на оперативни програми - на околна среда, на развитие на човешките ресурси, на иновации и конкурентоспособност, на наука и образование за интелигентен растеж, плюс Централно координационно звено на МС, Министерство на финансите по отношение на правила за държавни помощи, отделно има 64 работещи МИГ.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Спасов сподели, че към момента координацията, с която работят всички за прилагането на подхода, е отлична. На 12 и 13 декември ще се проведе среща на управляващите органи с всички МИГ групи, около 150 участника. На срещата ще бъдат обсъдени доста проблеми, свързани с изпълнението и прилагането на подхода.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Спасов представи на присъстващите схемата на прилагане на многофондовото финансиране - 5 УО на програми, 4 ОП програми и ПРСР, 4 фонда са на разположение, без Фонд за морско дело и рибарство, който не финансира многофондовото прилагане на подхода. Това са средствата по линия на многофондовото финансиране. Общо от 304 млн. евро по всички фондове - 131 млн. евро са от ПРСР и Европейския земеделски фонд за развитие на селските райони, който е водещ фонд в прилагането.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Бюджетът в Европейския земеделски фонд за развитие на селските райони е разделен на 4 подмерки. По подмярка 19 МИГ и партньорства са получили финансиране за изпълнение на своите стратегии с 4 млн. и 66 хил.евро. По подмярка 19.2 е за 90 млн. евро - финансира проектите към МИГ. Подмярка 19.3 е с 6,5 млн. евро - за  финансиране на проекти в областта на сътрудничеството между МИГ. По подмярка 19.4 - 30 млн. евро бюджет за финансиране разходите на МИГ при прилагане на стратегиите, това са разходи за управление и разходи свързани с популяризиране на стратегиите.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Подмярка 19.1</w:t>
      </w:r>
      <w:r w:rsidRPr="008D41E2">
        <w:rPr>
          <w:rFonts w:ascii="Times New Roman" w:eastAsia="Times New Roman" w:hAnsi="Times New Roman" w:cs="Times New Roman"/>
          <w:sz w:val="24"/>
          <w:szCs w:val="24"/>
          <w:lang w:eastAsia="bg-BG"/>
        </w:rPr>
        <w:t>. бюджетът е 4 млн. 766 хиляди евро. От Разплащателна агенция досега са изплатени около 1 млн. 700 хил. евро. В процес на обработка са заявки за около 300 хил. евро. Отказани са много малък размер разходи - около 40 хил. евро. От оставащите средства от 2 млн. 700 хил. евро, 2 млн.евро са пренасочени за одобрение на една стратегия за местно развитие повече.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С изпълнените проекти по подготовка на стратегии са изпълнени 100 проекта, по които са проведени 1200 събития на територията  на 180 общини, покриващи територия от 74 433 кв. км и население от 2 млн. и 300 хил. жители приблизително.</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Подмярка 19.2</w:t>
      </w:r>
      <w:r w:rsidRPr="008D41E2">
        <w:rPr>
          <w:rFonts w:ascii="Times New Roman" w:eastAsia="Times New Roman" w:hAnsi="Times New Roman" w:cs="Times New Roman"/>
          <w:sz w:val="24"/>
          <w:szCs w:val="24"/>
          <w:lang w:eastAsia="bg-BG"/>
        </w:rPr>
        <w:t>. е за финансиране на стратегиите с бюджет от 91 млн. 663 хил. евро по Европейски земеделски фонд за развитие на селските райони. По другите фондове има допълнително средства. По тази подмярка парите 99.9% са договорени. Има остатък от 181 хил. евро, които няма как да се договоря към стратегия. Одобрени са 64 МИГ на територията на 117 общини, на около 54 хил. кв. км територия и население 1 646 588 жители.</w:t>
      </w:r>
    </w:p>
    <w:p w:rsidR="008D41E2" w:rsidRPr="008D41E2" w:rsidRDefault="008D41E2" w:rsidP="008D41E2">
      <w:pPr>
        <w:widowControl/>
        <w:spacing w:after="0" w:line="240" w:lineRule="auto"/>
        <w:jc w:val="both"/>
        <w:rPr>
          <w:rFonts w:ascii="Times New Roman" w:eastAsia="Times New Roman" w:hAnsi="Times New Roman" w:cs="Times New Roman"/>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С многофондовото финансиране на МИГ, една МИГ може да получи ориентировъчно около 6 млн. евро бюджет, по който да изпълнява проекти на своята територия. Това е теоретично възможността, на практика има само 1 МИГ с пълен бюджет - Свиленград ареал, която има около 13 млн. лева бюджет стратегия, която трябва да изпълнява. Около десетина МИГ са с бюджет от над 8 млн. лева. Като МИГ с най-малък бюджет, Сливница и Драгоман, са еднофондова стратегия и население под 15 хил. жители, така че 2 млн. 600 хил. лева е минималният размер на стратегия за местно развитие. Средно за Местна инициативна група около 3 млн. евро или 5 млн. 700 хил. лева чисто средно аритметично за МИГ бюджет.</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lastRenderedPageBreak/>
        <w:t xml:space="preserve">Г-н Спасов изтъкна, че доста интензивно се развиват приемите на проекти в МИГ. По данни от ИСУН към 7 декември, има 59 активни процедури по ПРСР, 39 са приключили и 94 са в процес на подготовка. В момента МИГ качват информация в тези 94 процедури, подготвят насоки и документи. След това подават до УО писмена заявка за активиране на тази процедура. Тя се разглежда в рамките от 7 до 10 работни дни и се  активира, като се разглежда за съответствие с необходимите изисквания дали всички документи са налични, дали представената информация отговоря на стратегиите. По приключилите 39 процедури от МИГ са оценени 230 проекти, като част от тях са подадени към ДФ "Земеделие" Разплащателна агенция, а друга част от тях предстои да бъдат подадени в близките седмици и дни.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Проектите, подадени към местните инициативни групи са 194, но информацията е динамична и те вече са 230. Очакваме от тези 39 процедури  около 230 проекта да бъдат с приключена оценката. Тези 194, които са представени в презентацията, уточни г-н Спасов, са със заявена субсидия 21 млн. лева и засега няма нито един сключен договор. Това предстои да се случи през близките седмици и месеци.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ОП "Иновации и конкурентоспособност" има 14 активни процедури, 9 - приключили и 3, които се подготвят в момента.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ОП "Иновации и конкурентоспособност" има 92 проекта, които са подадени към МИГ, там вече има и 20 сключени договора, които се изпълняват вече, на стойност 2 млн. 187 хил.</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ОП "Развитие на човешките ресурси" има 17 активни процедури, 11 са приключили  и 52 се оценяват от УО. Като по тази програма има одобрени вече 25 договора.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ОП "Околна среда" и ОП "Наука, образование за интелигентен растеж" все още няма открити приеми в МИГ, тъй като тези програми подготвят своите насоки към МИГ сравнително късно. В момента МИГ подготвят своите насоки към бенефициентите и ще започнат откриване на процедури в началото на следващата година.</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Подмярка</w:t>
      </w:r>
      <w:r w:rsidRPr="008D41E2">
        <w:rPr>
          <w:rFonts w:ascii="Times New Roman" w:eastAsia="Times New Roman" w:hAnsi="Times New Roman" w:cs="Times New Roman"/>
          <w:sz w:val="24"/>
          <w:szCs w:val="24"/>
          <w:lang w:eastAsia="bg-BG"/>
        </w:rPr>
        <w:t xml:space="preserve"> 19.3. „Финансиране на проекти в областта на сътрудничеството между местните инициативни групи" от бюджет 6 млн. 500 хил. евро има открит прием, който е постоянен, в размер 1 млн. евро и по него са получени 8 проекта за подготвителни дейности и 3 проекта за вътрешно териториално сътрудничество между МИГ в България. В момента се готвят 2 големи проекта между български, италиански, френски и гръцки МИГ в областта на виното и популяризиране на винените маршрути. Другият проект "Балканско сирене" е много амбициозен проект, който си поставя за цел сиренета произвеждани на Балканите да достигнат популярността на сирената от Западна Европа с главни участници България, Гърция и Румъния и като партньори Сърбия, Албания, Турция и Македония. Това са проекти, които предстои да бъдат подадени.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Подмярка 19.4. „</w:t>
      </w:r>
      <w:r w:rsidRPr="008D41E2">
        <w:rPr>
          <w:rFonts w:ascii="Times New Roman" w:eastAsia="Times New Roman" w:hAnsi="Times New Roman" w:cs="Times New Roman"/>
          <w:sz w:val="24"/>
          <w:szCs w:val="24"/>
          <w:lang w:eastAsia="bg-BG"/>
        </w:rPr>
        <w:t>Текущи разходи по популяризиране на стратегиите на ВОМР”. От Разплащателна агенция са изплатили всички авансови плащания за 2018г. За 2017 и 2018г. в момента се изплащат, а УО на ПРСР разглежда бюджетите на МИГ за 2019г. Предстои до края на м.декември те да бъдат одобрени, за да могат в началото на следващата година МИГ да подадат искания за авансово плащане за текущата година.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Има доста МИГ, които не познават в детайли стратегиите, които изпълняват, не спазват основни срокове, които са нормативно установени, интернет сайтовете на МИГ не са в добро състояние, т.е. не съдържат цялата информация, която съгласно нормативната уредба трябва да има в тях. Системата за прилагане е доста сложна и това може би поражда някои затруднения с документооборота, който трябва да се извършва при прилагане на подхода, все още има затруднения в някои МИГ. Основният проблем, който възниква е с качеството на процедурите, които се качват в ИСУН. Досега са разгледани около 90-100 процедури, качеството на информацията е доста ниско.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lastRenderedPageBreak/>
        <w:t>Постоянно се предоставя методическа помощ към екипите на МИГ. Организират се съвместни срещи, обучения. По проект "Техническа помощ" се осъществяват по 6 срещи годишно, съгласно постановление на МС. От 12 декември започва изпълнението на този проект - ще има 6 годишни срещи с МИГ, на които ще се обсъждат доста въпроси. Това е едно междинно звено между УО и  бенефициентите, което предполага един много по-сложен процес на усвояване на средствата и трябва да има постоянна връзка между УО и МИГ с цел отстраняване на всякакви проблеми в тяхната работа.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Провеждат се и срещи по въпроси, които са специфични за отделни МИГ, които са проблематични и тече официална комуникация за въпроси и отговори, които се публикуват периодично на информационния портал на структурните фондове и на ПРСР. За една година са проведени две международни конференции с участието на между 220 и 320 души на двете от 20 и 22 страни на Европейския съюз, на които е обсъдено бъдещето на подхода за следващия период. Създадени са доста контакти между нашите и чуждестранните МИГ. В България подхода се прилага на доста добро ниво и нашите МИГ по нищо не изостават от колегите им от другите страни в ЕС.</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МИЛЕНА НЕДЕВА </w:t>
      </w:r>
      <w:r w:rsidRPr="008D41E2">
        <w:rPr>
          <w:rFonts w:ascii="Times New Roman" w:eastAsia="Times New Roman" w:hAnsi="Times New Roman" w:cs="Times New Roman"/>
          <w:sz w:val="24"/>
          <w:szCs w:val="24"/>
          <w:lang w:eastAsia="bg-BG"/>
        </w:rPr>
        <w:t>отправи два въпроса към г-н Спасов. Първият - ще отпадне ли ангажимента на МИГ-те, сключили договори 2016г. до 30 юни 2019г. да са усвоили 50% от ресурса? Вторият - за постигане на целите ще се зачитат ли реално стартиралите проекти, а не само тези с финално плащане?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Г-н СТЕФАН СПАСОВ </w:t>
      </w:r>
      <w:r w:rsidRPr="008D41E2">
        <w:rPr>
          <w:rFonts w:ascii="Times New Roman" w:eastAsia="Times New Roman" w:hAnsi="Times New Roman" w:cs="Times New Roman"/>
          <w:sz w:val="24"/>
          <w:szCs w:val="24"/>
          <w:lang w:eastAsia="bg-BG"/>
        </w:rPr>
        <w:t>отговори, че</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 xml:space="preserve">за 50% изпълнение, има Наредба 22 в Споразумението за изпълнение на стратегията, където е записано, че управляващите органи могат да изтеглят фондове, които са предоставили на една МИГ. Това ще се обсъжда и на обучението на 12 и 13 декември.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В писмо от ОП „Развитие на човешките ресурси” се казва, че по тяхно виждане е редно всички МИГ, които включва този фонд, да имат открити процедури по всичките мерки на ОП „Развитие на човешките ресурси” до края на този период – 30 юни 2019 г. , за да може УО да бъде уверен, че ще се усвоят средствата, заделени за подхода.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От другите оперативни програми няма постъпило такова официално становище. От среща проведена с тях има уверение, че няма да има рестриктивни действия, но всичко зависи от МИГ. За тези, за които е видно, че не се справят или не са отворили приеми, ще се направят специални срещи, на които да се уточни къде има проблеми и дали може да се разрешат. Към момента няма нито един такъв риск и нито един УО не желае да изтегля средства, които е предоставил за стартиране на стратегиите за местно развитие.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Г-жа ЦВЕТОМИРА СТАЙКОВА </w:t>
      </w:r>
      <w:r w:rsidRPr="008D41E2">
        <w:rPr>
          <w:rFonts w:ascii="Times New Roman" w:eastAsia="Times New Roman" w:hAnsi="Times New Roman" w:cs="Times New Roman"/>
          <w:sz w:val="24"/>
          <w:szCs w:val="24"/>
          <w:lang w:eastAsia="bg-BG"/>
        </w:rPr>
        <w:t>направи</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уточнение по въпроса, свързан с документите, които ще се признават за постигане на индикаторите и междинните цели за 2018 г. от приоритетите в Рамката за изпълнение. По време на представянето на Напредъка в постигане на междинните цели беше споменато, че една от мерките е свързана с представяне на документи от страна на бенефициентите, удостоверяващи реално изпълнение на одобрените  договори, които сключват с ДФ „Земеделие”. В договорите има специална клауза, която изисква да се представят документи, удостоверяващи стартиране и реално изпълнение на одобрените инвестиции. Такива документи са приемно-предавателни протоколи, фактури и платежни нареждания за извършени плащания. Ако такива са представени, биха могли да се отчитат към постигане на напредък в изпълнение на междинните цели, дори да няма подадена заявка за междинно или окончателно плащане. Правилото е, че се отчитат разходи попълнени и подадени за възстановяване към ДФ „Земеделие” чрез заявка за междинно или окончателно плащане. Авансовите плащания не се зачитат и не допринасят за изпълнение на междинните цели.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lastRenderedPageBreak/>
        <w:t xml:space="preserve">Д-р ЛОЗАНА ВАСИЛЕВА </w:t>
      </w:r>
      <w:r w:rsidRPr="008D41E2">
        <w:rPr>
          <w:rFonts w:ascii="Times New Roman" w:eastAsia="Times New Roman" w:hAnsi="Times New Roman" w:cs="Times New Roman"/>
          <w:sz w:val="24"/>
          <w:szCs w:val="24"/>
          <w:lang w:eastAsia="bg-BG"/>
        </w:rPr>
        <w:t>предложи да се прекрати дискусията по точка 5.</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u w:val="single"/>
          <w:lang w:eastAsia="bg-BG"/>
        </w:rPr>
        <w:t>РЕШЕНИЕ ПО ТОЧКА 5-та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КН прие за сведение информация за напредъка на ПРСР (2014-2020) - напредък по обработката на заявленията, постигане на междинните цели, докладване нивото на грешки (с информация за резултатите от одита и мерките, които се вземат, свързани с Биологичното земеделие) и текущия отчет за изпълнението на стратегиите за ВОМР.</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Преминаваме към точка 6-та.</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u w:val="single"/>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u w:val="single"/>
          <w:lang w:eastAsia="bg-BG"/>
        </w:rPr>
        <w:t>ТОЧКА 6-та ОТ ДНЕВНИЯ РЕД</w:t>
      </w:r>
      <w:r w:rsidRPr="008D41E2">
        <w:rPr>
          <w:rFonts w:ascii="Times New Roman" w:eastAsia="Times New Roman" w:hAnsi="Times New Roman" w:cs="Times New Roman"/>
          <w:b/>
          <w:sz w:val="24"/>
          <w:szCs w:val="24"/>
          <w:lang w:eastAsia="bg-BG"/>
        </w:rPr>
        <w:t>:</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i/>
          <w:sz w:val="24"/>
          <w:szCs w:val="24"/>
          <w:lang w:eastAsia="bg-BG"/>
        </w:rPr>
        <w:t>Предложение на УО на ПРСР (2014-2020) за разглеждане на Индикативната годишна  работна програма на ПРСР за 2019г.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предложи да се</w:t>
      </w:r>
      <w:r w:rsidRPr="008D41E2">
        <w:rPr>
          <w:rFonts w:ascii="Times New Roman" w:eastAsia="Times New Roman" w:hAnsi="Times New Roman" w:cs="Times New Roman"/>
          <w:b/>
          <w:sz w:val="24"/>
          <w:szCs w:val="24"/>
          <w:lang w:eastAsia="bg-BG"/>
        </w:rPr>
        <w:t xml:space="preserve"> </w:t>
      </w:r>
      <w:r w:rsidRPr="008D41E2">
        <w:rPr>
          <w:rFonts w:ascii="Times New Roman" w:eastAsia="Times New Roman" w:hAnsi="Times New Roman" w:cs="Times New Roman"/>
          <w:sz w:val="24"/>
          <w:szCs w:val="24"/>
          <w:lang w:eastAsia="bg-BG"/>
        </w:rPr>
        <w:t>разгледа Индикативната годишна работна програма на ПРСР за 201</w:t>
      </w:r>
      <w:r w:rsidRPr="008D41E2">
        <w:rPr>
          <w:rFonts w:ascii="Times New Roman" w:eastAsia="Times New Roman" w:hAnsi="Times New Roman" w:cs="Times New Roman"/>
          <w:sz w:val="24"/>
          <w:szCs w:val="24"/>
          <w:lang w:val="en-US" w:eastAsia="bg-BG"/>
        </w:rPr>
        <w:t>9</w:t>
      </w:r>
      <w:r w:rsidRPr="008D41E2">
        <w:rPr>
          <w:rFonts w:ascii="Times New Roman" w:eastAsia="Times New Roman" w:hAnsi="Times New Roman" w:cs="Times New Roman"/>
          <w:sz w:val="24"/>
          <w:szCs w:val="24"/>
          <w:lang w:eastAsia="bg-BG"/>
        </w:rPr>
        <w:t xml:space="preserve"> г. Тя обобщи, че процедурата е спазена, имало е обществено обсъждане и Индикативната годишна работна програма е била публикувана на сайта  на Министерството на земеделието, храните и горите. Отразени са предложенията и коментарите. След това е получено и съгласуване от СКУСЕС </w:t>
      </w:r>
      <w:r w:rsidRPr="008D41E2">
        <w:rPr>
          <w:rFonts w:ascii="Times New Roman" w:eastAsia="Times New Roman" w:hAnsi="Times New Roman" w:cs="Times New Roman"/>
          <w:sz w:val="24"/>
          <w:szCs w:val="24"/>
          <w:lang w:val="en-US" w:eastAsia="bg-BG"/>
        </w:rPr>
        <w:t>(</w:t>
      </w:r>
      <w:r w:rsidRPr="008D41E2">
        <w:rPr>
          <w:rFonts w:ascii="Times New Roman" w:eastAsia="Times New Roman" w:hAnsi="Times New Roman" w:cs="Times New Roman"/>
          <w:sz w:val="24"/>
          <w:szCs w:val="24"/>
          <w:lang w:eastAsia="bg-BG"/>
        </w:rPr>
        <w:t>Съвета за координация и управление на средствата от ЕС</w:t>
      </w:r>
      <w:r w:rsidRPr="008D41E2">
        <w:rPr>
          <w:rFonts w:ascii="Times New Roman" w:eastAsia="Times New Roman" w:hAnsi="Times New Roman" w:cs="Times New Roman"/>
          <w:sz w:val="24"/>
          <w:szCs w:val="24"/>
          <w:lang w:val="en-US" w:eastAsia="bg-BG"/>
        </w:rPr>
        <w:t>)</w:t>
      </w:r>
      <w:r w:rsidRPr="008D41E2">
        <w:rPr>
          <w:rFonts w:ascii="Times New Roman" w:eastAsia="Times New Roman" w:hAnsi="Times New Roman" w:cs="Times New Roman"/>
          <w:sz w:val="24"/>
          <w:szCs w:val="24"/>
          <w:lang w:eastAsia="bg-BG"/>
        </w:rPr>
        <w:t xml:space="preserve"> и по процедура предстои Комитет по наблюдение също да съгласува предложената Индикативна програма за 2019 г. Думата беше дадена на г-жа Стайкова да представи накратко програмата.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ЦВЕТОМИРА СТАЙКОВА </w:t>
      </w:r>
      <w:r w:rsidRPr="008D41E2">
        <w:rPr>
          <w:rFonts w:ascii="Times New Roman" w:eastAsia="Times New Roman" w:hAnsi="Times New Roman" w:cs="Times New Roman"/>
          <w:sz w:val="24"/>
          <w:szCs w:val="24"/>
          <w:lang w:eastAsia="bg-BG"/>
        </w:rPr>
        <w:t xml:space="preserve">започна с информацията, че са отворени </w:t>
      </w:r>
      <w:r w:rsidRPr="008D41E2">
        <w:rPr>
          <w:rFonts w:ascii="Times New Roman" w:eastAsia="Times New Roman" w:hAnsi="Times New Roman" w:cs="Times New Roman"/>
          <w:b/>
          <w:bCs/>
          <w:sz w:val="24"/>
          <w:szCs w:val="24"/>
          <w:lang w:eastAsia="bg-BG"/>
        </w:rPr>
        <w:t>(</w:t>
      </w:r>
      <w:r w:rsidRPr="008D41E2">
        <w:rPr>
          <w:rFonts w:ascii="Times New Roman" w:eastAsia="Times New Roman" w:hAnsi="Times New Roman" w:cs="Times New Roman"/>
          <w:sz w:val="24"/>
          <w:szCs w:val="24"/>
          <w:lang w:eastAsia="bg-BG"/>
        </w:rPr>
        <w:t>без да се броят компенсаторните мерки) приеми по 18 процедури през ИСУН, като преди това е направена сериозна реформа. Променен е Законът за подпомагане на земеделските производители. Направени са промени в правилата на работа на ДФ „Земеделие“ в начина на обявяване на приеми - вече се издават насоки за всеки конкретен прием.</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Отворените приеми до момента, само за 2018 г., са с общ бюджет надхвърлящ 662 млн. лева. Заявленията за подпомагане, които се обработват в ДФ „Земеделие“, надхвърлят 16 000. Тази натовареност в ДФ „Земеделие“ е отчетена, когато е изготвян проектът на Индикативна годишна работна програма за приемите през 2019 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Г-жа Стайкова отбеляза, че има още няколко мерки, които са планирани през 2018 г., по тях се работи и това се вижда, но вероятно ще се навлезе в 2019 г. по отношение на обявяване на самите приеми. </w:t>
      </w:r>
      <w:r w:rsidRPr="008D41E2">
        <w:rPr>
          <w:rFonts w:ascii="Times New Roman" w:eastAsia="Times New Roman" w:hAnsi="Times New Roman" w:cs="Times New Roman"/>
          <w:bCs/>
          <w:sz w:val="24"/>
          <w:szCs w:val="24"/>
          <w:lang w:eastAsia="bg-BG"/>
        </w:rPr>
        <w:t>Такъв е случаят с подмярка 7.3 - Мярката за широколентов интернет,</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която е от изключително значение. Проектът за насоки за тази подмярка е изработен съвместно с ДФ „Земеделие“ и с единствения бенефициент по подмярката, определен в ПРСР – Държавната агенция за електронно управление. Насоките в момента са качени за обществено обсъждане и всеки може да даде своите коментари и предложения по тях. Срокът изтича в първите работни дни на януари 2019 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Подмярка 16.1.</w:t>
      </w:r>
      <w:r w:rsidRPr="008D41E2">
        <w:rPr>
          <w:rFonts w:ascii="Times New Roman" w:eastAsia="Times New Roman" w:hAnsi="Times New Roman" w:cs="Times New Roman"/>
          <w:sz w:val="24"/>
          <w:szCs w:val="24"/>
          <w:lang w:eastAsia="bg-BG"/>
        </w:rPr>
        <w:t xml:space="preserve"> На настоящото заседание на гласуване бе подложено предложението в следващото изменение на програмата да се включи намаляването на максималния размер на допустимите инвестиции в подмярката. Работи се и по насоките. Предстои провеждане на Тематична работна група в най-кратки срокове и е възможно и тази мярка да се отвори в началото на следващата година.</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Cs/>
          <w:sz w:val="24"/>
          <w:szCs w:val="24"/>
          <w:lang w:eastAsia="bg-BG"/>
        </w:rPr>
        <w:t>Тя уточни, че подобен е случаят и с  подмярка 1.1</w:t>
      </w:r>
      <w:r w:rsidRPr="008D41E2">
        <w:rPr>
          <w:rFonts w:ascii="Times New Roman" w:eastAsia="Times New Roman" w:hAnsi="Times New Roman" w:cs="Times New Roman"/>
          <w:b/>
          <w:bCs/>
          <w:sz w:val="24"/>
          <w:szCs w:val="24"/>
          <w:lang w:eastAsia="bg-BG"/>
        </w:rPr>
        <w:t>,</w:t>
      </w:r>
      <w:r w:rsidRPr="008D41E2">
        <w:rPr>
          <w:rFonts w:ascii="Times New Roman" w:eastAsia="Times New Roman" w:hAnsi="Times New Roman" w:cs="Times New Roman"/>
          <w:sz w:val="24"/>
          <w:szCs w:val="24"/>
          <w:lang w:eastAsia="bg-BG"/>
        </w:rPr>
        <w:t xml:space="preserve"> която също е включена в настоящата работна програма. Подготвените критерии за подбор бяха подложени  на гласуване на заседанитето. Паралелно се работи и по насоките, ще се проведе Тематична работна група, ще се отвори прием в следващата година.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В проекта на Индикативна годишна работна програма за 2019 г., са включени мерки, които ще се прилагат директно от УО в рамките на Министерство на земеделието, храните и горите, с </w:t>
      </w:r>
      <w:r w:rsidRPr="008D41E2">
        <w:rPr>
          <w:rFonts w:ascii="Times New Roman" w:eastAsia="Times New Roman" w:hAnsi="Times New Roman" w:cs="Times New Roman"/>
          <w:sz w:val="24"/>
          <w:szCs w:val="24"/>
          <w:lang w:eastAsia="bg-BG"/>
        </w:rPr>
        <w:lastRenderedPageBreak/>
        <w:t xml:space="preserve">изключение на подмярка 6.3 и 7.6. Това е направено с цел да се облекчи работата в ДФ „Земеделие“, за да могат да обработят наличните при тях хиляди заявления.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Cs/>
          <w:sz w:val="24"/>
          <w:szCs w:val="24"/>
          <w:lang w:eastAsia="bg-BG"/>
        </w:rPr>
        <w:t>Г-жа Стайкова накратко представи и мерките, които са предложени да бъдат включени в Програмата за 2019 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подмярка 1.1 - приемът се планира да стартира през месец май;</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подмярка 4.3 - мярката за напояване за мащабна хидромелиоративна  инфраструктура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 подмярка 6.3 - втори прием от тематичната подпрограма - отново през месец май.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подмярка 7.6 - втори прием, планиран да стартира през месец юни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подмярка 16.4 - като продължение на 16.1</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подмярка 19.1 - месец ноември 2019 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подмярка 19.3 - приемът по която тече от месец август 2018г.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Стайкова подчерта, че голяма част от подмерките са нови, нестартирали до момента и неприлагани в страната, обстоятелство, което е взето предвид, когато е правен подборът на мерките. Графикът е публикуван за обществено обсъждане и от Централното координационно звено има препоръка да бъде включена подмярка 6.2. Не трябва да се прави заключение, че мерките, които не се откриват в работната програма за догодина, никога няма да стартират. Такова решение не е взето. До средата на 2019 г. ще бъде направена текуща оценка и преглед на изпълнението на програмата за 2018 г., в резултат на което и в зависимост от постигане на междинните цели, е възможно да се наложи да бъдат взети различни решения, които е рано да се коментират в момента.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Стайкова посочи, че законодателството предвижда възможност ИГРП да бъде актуализирана, като не е изключено това да стане във втората половина на 2019 г., както и да се добавят нови мерки след внимателен анализ и преглед на постигане на междинните цели. Вероятно до средата на следващата година голяма част от проектите в ДФ "Земеделие" ще бъдат финализирани, което ще позволи по-голяма гъвкавост по отношение на нови приеми.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възможност за коментари и въпроси.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ТИХОМИР ТОМАНОВ, Асоциация "Общински гори" </w:t>
      </w:r>
      <w:r w:rsidRPr="008D41E2">
        <w:rPr>
          <w:rFonts w:ascii="Times New Roman" w:eastAsia="Times New Roman" w:hAnsi="Times New Roman" w:cs="Times New Roman"/>
          <w:sz w:val="24"/>
          <w:szCs w:val="24"/>
          <w:lang w:eastAsia="bg-BG"/>
        </w:rPr>
        <w:t>изказа мнение, че презентацията е била много интересна, но според него някои подмерки предварително са обречени на неизпълнение, особено двете подмерки 8.1 и 8.5, които са свързани със залесяване и подобряване на екологичното състояние на горите. Индикативният график съдържа 7 подмерки, но според него презентацията подсказва за недостатъчен капацитет на ДФ "Земеделие" да се справи с Програмата в рамките на тези 4 години.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2019 година е предпоследна от Програмата. Мярка 8.1 е залесяване и презалесяване - един процес, който изисква време както като логистика, така и като технологично време за изпълнение на евентуални проекти. Невключването на мерките, свързани със залесителна дейност в индикативния график, обрича неизпълнението им категорично, нещо което се е случило и в предния програмен период. Г-н Томанов подчерта, че във връзка с това от тяхна страна е направено предложение още през 2016 г. От 2017 г. приемът на трите горски мерки е отложен и те са отворени през 2018 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Томанов изрази тревожното становище на Асоциация "Общински гори", което е коментирано на различни техни форуми в общините. Той настоя, ако трябва да бъде гласувано отделно тяхното предложение, макар и късно през 2019 г., двете подмерки 8.1 и 8.5, да бъдат задължително включени в индикативния график, за да може да се гарантира тяхното изпълнение.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благодари</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за изказването и уточни, че Индикативната годишна работна програма е предложена от УО и качена за публично обсъждане и всички заинтересовани страни са имали възможност да дадат своите коментари и бележки за включване или изключване на мерки в Индикативната годишна работна програма.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В процеса на обществено обсъждане не са постъпили бележки за включване на допълнителни горски мерки. Г-жа Василева изрази несъгласие с твърдението, че се  неглижират горските мерки. Настоящето ръководство е предприело действия да се отворят три горски мерки през тази година, които в момента са в процес на обработка.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ТИХОМИР ТОМАНОВ </w:t>
      </w:r>
      <w:r w:rsidRPr="008D41E2">
        <w:rPr>
          <w:rFonts w:ascii="Times New Roman" w:eastAsia="Times New Roman" w:hAnsi="Times New Roman" w:cs="Times New Roman"/>
          <w:sz w:val="24"/>
          <w:szCs w:val="24"/>
          <w:lang w:eastAsia="bg-BG"/>
        </w:rPr>
        <w:t>възрази защо трябва да очакват от тях да дойде предложението  тези или които и да било подмерки да бъдат включени или не. Обстоятелството, че не са реагирали не означава, че грижата не е всеобща.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уточни, че дискусията в момента не е да се включват или изключват мерки. Това естанало по време на общественото обсъждане. Няма възможност да се отворят абсолютно всички оставащи мерки по ПРСР през 2019 г. Решението на УО кои мерки да включи е било предложено на обществено обсъждане.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Д-р Василева даде думата на г-жа Стайкова за уточнение.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ЦВЕТОМИРА СТАЙКОВА </w:t>
      </w:r>
      <w:r w:rsidRPr="008D41E2">
        <w:rPr>
          <w:rFonts w:ascii="Times New Roman" w:eastAsia="Times New Roman" w:hAnsi="Times New Roman" w:cs="Times New Roman"/>
          <w:sz w:val="24"/>
          <w:szCs w:val="24"/>
          <w:lang w:eastAsia="bg-BG"/>
        </w:rPr>
        <w:t>уточни, че договаряне на мерки от програмата е възможно до края на 2023 г., т.е. още 5 години. По отношение на запитването колко мерки са избрани в настоящата ПРСР, тя отговори, че те са 55, като от тях едва 15 все още не са включени и предвидени за стартиране. 40 вече са били с приеми или са били включени в графика за следваща година. Според г-жа Стайкова, цифрата е показателна. По отношение на заключението за недостатъчен капацитет на ДФ "Земеделие", тя уточни, че ДФ "Земеделие" има функцията на акредитирана Разплащателна агенция. Един от критериите за акредитация е персоналът, наличието на капацитет за обработка.  Акредитацията не е отнета, което означава, че ДФ "Земеделие" има капацитет.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Интересът към мерките става все по-голям с всяка изминала година и няма прием, който да е обявен и бюджетът на заявените за подпомагане разходи да не надхвърля минимум с 4 пъти наличния обявен по съответния прием бюджет.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 други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ДИАНА НАЙДЕНОВА, КНСБ </w:t>
      </w:r>
      <w:r w:rsidRPr="008D41E2">
        <w:rPr>
          <w:rFonts w:ascii="Times New Roman" w:eastAsia="Times New Roman" w:hAnsi="Times New Roman" w:cs="Times New Roman"/>
          <w:sz w:val="24"/>
          <w:szCs w:val="24"/>
          <w:lang w:eastAsia="bg-BG"/>
        </w:rPr>
        <w:t>благодари от името на КНСБ на екипа, подготвил материалите и докладите за срещата. Тя направи кратко предложение по Мярка 1.1, касаеща обучението. Според нея е съобразено, че преките бенефициенти са участниците в самите обучения и изрази учудването, че обученията ще стартират месец май - голям период и време, когато започва активния земеделски сезон и възможността за участие в обучение и семинари ще бъде сериозно ограничено.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Според г-жа Найденова, вторият проблем, по който трябва да се вземе отношение е, че носители на най-големи проблеми са малките общини и селските райони, които са бенефициенти на Фонда. Тази мярка не се изпълнява или кметовете на общините не обръщат внимание за повдигане на жизненото равнище, повишаване на качеството на живот в населените места и използване на възможностите на тази мярка.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ЦВЕТОМИРА СТАЙКОВА </w:t>
      </w:r>
      <w:r w:rsidRPr="008D41E2">
        <w:rPr>
          <w:rFonts w:ascii="Times New Roman" w:eastAsia="Times New Roman" w:hAnsi="Times New Roman" w:cs="Times New Roman"/>
          <w:sz w:val="24"/>
          <w:szCs w:val="24"/>
          <w:lang w:eastAsia="bg-BG"/>
        </w:rPr>
        <w:t>коментира по отношение на подмярка 1.1, че през май ще стартира самото кандидатстване, подаването на проектните предложения. След като приемът приключи, а той продължава около 3 месеца, стартира обработката на проектните предложения и след като бъдат оценени и бъде направен подбор, ще бъдат сключени договори. Това са минимум 6 месеца и се навлиза в зимния сезон, когато вече ще стартира реалното изпълнение на проектите и този сезон ще бъде подходящ за обучение на самите обучаеми, които приоритетно са млади или малки земеделски производители.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По отношение на коментара за основни услуги, г-жа Стойкова отговори, че вероятно  се  има предвид и представянето на Приоритет 6 и постигането на индикаторите там. Общинските </w:t>
      </w:r>
      <w:r w:rsidRPr="008D41E2">
        <w:rPr>
          <w:rFonts w:ascii="Times New Roman" w:eastAsia="Times New Roman" w:hAnsi="Times New Roman" w:cs="Times New Roman"/>
          <w:sz w:val="24"/>
          <w:szCs w:val="24"/>
          <w:lang w:eastAsia="bg-BG"/>
        </w:rPr>
        <w:lastRenderedPageBreak/>
        <w:t xml:space="preserve">проекти се изпълняват бавно и причините са няколко. Едната е по-късният старт на Общинската мярка, а другата причина са обществените поръчки. Бенефициентите са  длъжни да избират изпълнители по реда на Закона за обществените поръчки.  Процедурата е тежка, става въпрос за големи инфраструктурни проекти с голям бюджет, големи интереси, често има обжалване на процедурите и това забавя избора на изпълнител. Тези процедури се съгласуват и в ДФ "Земеделие", прави се последващ контрол. Сроковете са оптимизирани максимално, поръчките се съгласуват в рамките на 5 дни. Другото, което създава затруднения и на база на което се прави докладването и се показват тези не толкова добри нива на непостигнатите индикатори е това, че за постигането на индикаторите допринасят реално разплатени от ДФ "Земеделие" заявки за междинно или окончателно плащане. Т.е., бенефициентите трябва да са изпълнили обособена част от инвестицията, да са подали документи за плащане и те да са обработени от ДФ "Земеделие".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Г-жа Стайкова уточни, че част от плана за действие е да се направи анализ какво се случва в края на настоящата година. Твърде е вероятно да не бъде постигнат още един индикатор, от който има нужда, за да не е под риск резервът по приоритета. В началото на следващата година заедно с ДФ "Земеделие" ще се направи преглед на проекти, които макар и да не са подали заявки за междинно или окончателно плащане, но са представили в ДФ "Земеделие" документи, доказващи реално стартирало изпълнение по проектите, което също ще помогне за изпълнение на индикаторите.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ДИАНА НАЙДЕНОВА </w:t>
      </w:r>
      <w:r w:rsidRPr="008D41E2">
        <w:rPr>
          <w:rFonts w:ascii="Times New Roman" w:eastAsia="Times New Roman" w:hAnsi="Times New Roman" w:cs="Times New Roman"/>
          <w:sz w:val="24"/>
          <w:szCs w:val="24"/>
          <w:lang w:eastAsia="bg-BG"/>
        </w:rPr>
        <w:t>попита, че</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така както се обясни, по мярка 1.1, срокът е доста продължителен, т.е. достатъчен да се въведе ваучерната система. Тя изтъкна, че работи с ОП "Развитие на човешките ресурси", където обучението се извършва с ваучери на безработни и заети лица  и има един добър продължителен опит. Ваучерът дава инициативата на конкретния бенефициент, освен това освобождава обучителните организации от държавна помощ и деминимис.</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благодари за предложението и уточни, че коментарите по мярка 1.1 са били в точка 3, където са обсъждани промени в Програмата и е гласувано с мнозинство предложената от УО промяна и начина на прилагане. Това, че срокът на прием е достатъчно дълъг, не означава, че по време на приема могат да се променят условията, а точно обратното. Към днешна дата трябва да се знаят какви са условията, за да се разработят насоки за кандидатстване и да може през май месец да се стартира реалният прием. Сроковете за продължителността на приемите са съобразно ЗУСЕСИВ.</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Д-р Василева даде думата за други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ЯВОР ГЕЧЕВ </w:t>
      </w:r>
      <w:r w:rsidRPr="008D41E2">
        <w:rPr>
          <w:rFonts w:ascii="Times New Roman" w:eastAsia="Times New Roman" w:hAnsi="Times New Roman" w:cs="Times New Roman"/>
          <w:sz w:val="24"/>
          <w:szCs w:val="24"/>
          <w:lang w:eastAsia="bg-BG"/>
        </w:rPr>
        <w:t>изрази мнение, че изказва гледната си точка, базирана на документи, независимо дали е приятна или не. Той защити Фонда и УО, тъй като е имал пряк поглед върху работата във фонда. При такава ситуация е изключително трудно да се справят с всички заявки. УО трябва да изпълнява едни междинни цели, които междинни цели в програмата тръгват 1 година по-късно, защото европейските регламенти са пуснати по-късно. Съответно УО и Фонда трябва да изпълнят тези критерии, защото срокове са с 1 година по-късни, но ЕК  ги изисква. Според него това не е коректно и когато трябва да се разглежда партньорството държава – УО – Брюксел – ЕК, тези неща трябва да са равноправни за всички страни.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 още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ЯНКА ПОПОВА </w:t>
      </w:r>
      <w:r w:rsidRPr="008D41E2">
        <w:rPr>
          <w:rFonts w:ascii="Times New Roman" w:eastAsia="Times New Roman" w:hAnsi="Times New Roman" w:cs="Times New Roman"/>
          <w:sz w:val="24"/>
          <w:szCs w:val="24"/>
          <w:lang w:eastAsia="bg-BG"/>
        </w:rPr>
        <w:t>зададе въпрос във връзка с подмярка 6.3., за която в Индикативния график е записано, че ще има предполагаем прием през май 2019 г. Във връзка с приема от 2016 г. приетите заявления са 3800, от тях има анулирани 570 заявления, за които не е наличен бюджет. Какво ще се случва с тези заявления, за които няма бюджет в настоящият прием и какъв ще е бюджетът за предстоящия прием?</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lastRenderedPageBreak/>
        <w:t xml:space="preserve">Д-р ЛОЗАНА ВАСИЛЕВА </w:t>
      </w:r>
      <w:r w:rsidRPr="008D41E2">
        <w:rPr>
          <w:rFonts w:ascii="Times New Roman" w:eastAsia="Times New Roman" w:hAnsi="Times New Roman" w:cs="Times New Roman"/>
          <w:sz w:val="24"/>
          <w:szCs w:val="24"/>
          <w:lang w:eastAsia="bg-BG"/>
        </w:rPr>
        <w:t>отговори, че бюджетът за предстоящият прием е записан в Индикативната годишна работна програма, който е 22 милиона. Заявленията, за които по първия прием не е имало бюджет, ще бъдат отказани и който желае отново би могъл да кандидатства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Д-р Василева даде думата за други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МИЛЕНА НЕДЕВА </w:t>
      </w:r>
      <w:r w:rsidRPr="008D41E2">
        <w:rPr>
          <w:rFonts w:ascii="Times New Roman" w:eastAsia="Times New Roman" w:hAnsi="Times New Roman" w:cs="Times New Roman"/>
          <w:sz w:val="24"/>
          <w:szCs w:val="24"/>
          <w:lang w:eastAsia="bg-BG"/>
        </w:rPr>
        <w:t>се изказа, че</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явно са пропуснали общественото обсъждане на Индикативния график. Нейният въпрос е свързан с мярка 7.5, която е включена в Индикативния график за 2018 г. с прием септември-декември 2018 г. Това е мярка, свързана с туристическите атракции, по която основен бенефициент са общините. Голяма част от общините са работили в тази посока и имат донякъде и проектната готовност по тази мярка. В тази връзка попита кое налага нейното изключване и дали ще бъде включена евентуално догодина.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ЦВЕТОМИРА СТАЙКОВА </w:t>
      </w:r>
      <w:r w:rsidRPr="008D41E2">
        <w:rPr>
          <w:rFonts w:ascii="Times New Roman" w:eastAsia="Times New Roman" w:hAnsi="Times New Roman" w:cs="Times New Roman"/>
          <w:sz w:val="24"/>
          <w:szCs w:val="24"/>
          <w:lang w:eastAsia="bg-BG"/>
        </w:rPr>
        <w:t>отговори, че вече е коментирано от какво се е водил УО, когато е подготвян графика за следващата година. Избрани са структуроопределящи мерки за земеделието като Мярка 4.3, тези които отговарят на основни идентифицирани нужди в ПРСР като Мярка 1, Мярка 6.3, Мярка 16. Взета е предвид натовареността на ДФ "Земеделие", защото Мярка 7.5, нейният аналог от предходния програмен период Мярка 313, е била много атрактивна и по нея са направени много екопътеки от общините, както и други проекти. В момента, дори и да се планира прием, ДФ "Земеделие" няма как да стигне до обработка и на тези заявления. Ще се направи преглед в средата на 2019 г. и тогава ще се прецени.</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Д-р ЛОЗАНА ВАСИЛЕВА</w:t>
      </w:r>
      <w:r w:rsidRPr="008D41E2">
        <w:rPr>
          <w:rFonts w:ascii="Times New Roman" w:eastAsia="Times New Roman" w:hAnsi="Times New Roman" w:cs="Times New Roman"/>
          <w:sz w:val="24"/>
          <w:szCs w:val="24"/>
          <w:lang w:eastAsia="bg-BG"/>
        </w:rPr>
        <w:t xml:space="preserve"> даде думата за други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ИЛИЯ ПРОДАНОВ, Национална асоциация на зърнопроизводителите </w:t>
      </w:r>
      <w:r w:rsidRPr="008D41E2">
        <w:rPr>
          <w:rFonts w:ascii="Times New Roman" w:eastAsia="Times New Roman" w:hAnsi="Times New Roman" w:cs="Times New Roman"/>
          <w:sz w:val="24"/>
          <w:szCs w:val="24"/>
          <w:lang w:eastAsia="bg-BG"/>
        </w:rPr>
        <w:t xml:space="preserve"> приветства включването на подмярка 4.3. в Индикативната годишна работна програма за следващата година и обявения прием за май 2019 г. Неговият въпрос е, ще имат ли бенефициентите, които искат да се включат в нея, достатъчно време за подготовка, предвид на това, че самата наредба и подмярка са в процес на изготвяне и няма никаква яснота по нея.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отговори, че предстои финализиране и дискусия с колегите от Главна Дирекция "Земеделие", за да се изчисти текстът на мярката в програмата. След като има одобрение на текста в програмата, предстои сформиране на ТРГ, на която ще се обсъждат в детайли насоките за кандидатстване и тогава ще има по-голяма яснота. След провеждане на ТРГ, насоките ще бъдат качени за обществено обсъждане и заинтересованите страни ще могат да подават своите бележки и коментари. След това предстои утвърждаване на насоките от ръководителя на УО и обявяването на тримесечен период за прием по мярката, както е по всички инвестиционни мерки.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ЦВЕТОМИРА СТАЙКОВА </w:t>
      </w:r>
      <w:r w:rsidRPr="008D41E2">
        <w:rPr>
          <w:rFonts w:ascii="Times New Roman" w:eastAsia="Times New Roman" w:hAnsi="Times New Roman" w:cs="Times New Roman"/>
          <w:sz w:val="24"/>
          <w:szCs w:val="24"/>
          <w:lang w:eastAsia="bg-BG"/>
        </w:rPr>
        <w:t>подчерта, че трябва да се има предвид, че кръгът на допустимите кандидати е много ограничен. По време на заседанията на ТРГ ще може да се коментират евентуални проблеми, които да се уреждат в насоките. Който има интерес от тази мярка и отговаря на условията за допустимост, ще успее да се подготви навреме.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Освен специфичните изисквания по Рамковата директива за водите, с които бенефициентите трябва да се съобразят, останалите изисквания се базират основно на Националното законодателство, на Закона за устройство на територията и т.н. Който притежава хидромелиоративна инфраструктура и би искал да я реконструира и модернизира спокойно може да стартира с подготовката и съгласуването и т.н.  на необходимата проектна документация.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предложи да се премине към гласуване, Комитетът по наблюдение да съгласува предложението на УО за Индикативна годишна работна програма на ПРСР за 2019 г. Предложението се прие с мнозинство.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4304DB" w:rsidRDefault="004304DB" w:rsidP="008D41E2">
      <w:pPr>
        <w:widowControl/>
        <w:spacing w:after="0" w:line="240" w:lineRule="auto"/>
        <w:jc w:val="both"/>
        <w:rPr>
          <w:rFonts w:ascii="Times New Roman" w:eastAsia="Times New Roman" w:hAnsi="Times New Roman" w:cs="Times New Roman"/>
          <w:b/>
          <w:sz w:val="24"/>
          <w:szCs w:val="24"/>
          <w:u w:val="single"/>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u w:val="single"/>
          <w:lang w:eastAsia="bg-BG"/>
        </w:rPr>
        <w:lastRenderedPageBreak/>
        <w:t>РЕШЕНИЕ ПО ТОЧКА 6-та ОТ ДНЕВНИЯ РЕД:</w:t>
      </w:r>
    </w:p>
    <w:p w:rsidR="008D41E2" w:rsidRDefault="008D41E2" w:rsidP="008D41E2">
      <w:pPr>
        <w:widowControl/>
        <w:spacing w:after="0" w:line="240" w:lineRule="auto"/>
        <w:jc w:val="both"/>
        <w:rPr>
          <w:rFonts w:ascii="Times New Roman" w:eastAsia="Times New Roman" w:hAnsi="Times New Roman" w:cs="Times New Roman"/>
          <w:b/>
          <w:sz w:val="24"/>
          <w:szCs w:val="24"/>
          <w:lang w:eastAsia="bg-BG"/>
        </w:rPr>
      </w:pPr>
      <w:r w:rsidRPr="008D41E2">
        <w:rPr>
          <w:rFonts w:ascii="Times New Roman" w:eastAsia="Times New Roman" w:hAnsi="Times New Roman" w:cs="Times New Roman"/>
          <w:b/>
          <w:sz w:val="24"/>
          <w:szCs w:val="24"/>
          <w:lang w:eastAsia="bg-BG"/>
        </w:rPr>
        <w:t>КН  съглас</w:t>
      </w:r>
      <w:r w:rsidR="004304DB">
        <w:rPr>
          <w:rFonts w:ascii="Times New Roman" w:eastAsia="Times New Roman" w:hAnsi="Times New Roman" w:cs="Times New Roman"/>
          <w:b/>
          <w:sz w:val="24"/>
          <w:szCs w:val="24"/>
          <w:lang w:eastAsia="bg-BG"/>
        </w:rPr>
        <w:t>ува  предложението на УО за Индикативна годишна работна програма</w:t>
      </w:r>
      <w:r w:rsidRPr="008D41E2">
        <w:rPr>
          <w:rFonts w:ascii="Times New Roman" w:eastAsia="Times New Roman" w:hAnsi="Times New Roman" w:cs="Times New Roman"/>
          <w:b/>
          <w:sz w:val="24"/>
          <w:szCs w:val="24"/>
          <w:lang w:eastAsia="bg-BG"/>
        </w:rPr>
        <w:t xml:space="preserve"> за 2019 г</w:t>
      </w:r>
      <w:r w:rsidR="00896F01">
        <w:rPr>
          <w:rFonts w:ascii="Times New Roman" w:eastAsia="Times New Roman" w:hAnsi="Times New Roman" w:cs="Times New Roman"/>
          <w:b/>
          <w:sz w:val="24"/>
          <w:szCs w:val="24"/>
          <w:lang w:eastAsia="bg-BG"/>
        </w:rPr>
        <w:t>.</w:t>
      </w:r>
      <w:r w:rsidR="004304DB">
        <w:rPr>
          <w:rFonts w:ascii="Times New Roman" w:eastAsia="Times New Roman" w:hAnsi="Times New Roman" w:cs="Times New Roman"/>
          <w:b/>
          <w:sz w:val="24"/>
          <w:szCs w:val="24"/>
          <w:lang w:eastAsia="bg-BG"/>
        </w:rPr>
        <w:t xml:space="preserve"> на ПРСР 2014-2020 г.</w:t>
      </w:r>
    </w:p>
    <w:p w:rsidR="004304DB" w:rsidRPr="008D41E2" w:rsidRDefault="004304DB"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u w:val="single"/>
          <w:lang w:eastAsia="bg-BG"/>
        </w:rPr>
        <w:t>ТОЧКА 7-ма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i/>
          <w:sz w:val="24"/>
          <w:szCs w:val="24"/>
          <w:lang w:eastAsia="bg-BG"/>
        </w:rPr>
        <w:t>Представяне на доклад за предварителна оценка на финансовите инструменти</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г-н Самуил Шидеров да представи за сведение на членовете на Комитета по наблюдение, информация от доклада за предварителната оценка на финансовите инструменти.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САМУИЛ ШИДЕРОВ </w:t>
      </w:r>
      <w:r w:rsidRPr="008D41E2">
        <w:rPr>
          <w:rFonts w:ascii="Times New Roman" w:eastAsia="Times New Roman" w:hAnsi="Times New Roman" w:cs="Times New Roman"/>
          <w:sz w:val="24"/>
          <w:szCs w:val="24"/>
          <w:lang w:eastAsia="bg-BG"/>
        </w:rPr>
        <w:t>запозна присъстващите с</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предварителната оценка, която е изготвена за финансовите инструменти в периода април-май тази година.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Броят на  предприятията в земеделския сектор са около 250 000 земеделски стопанства, като огромна част от тях са микропредприятия. Над 219 000 са предприятията, които са със стандартен производствен обем под 8000 евро, доколкото оценката обхваща не само земеделските стопанства, но и предприятия в хранителната промишленост, както и предприятия в селските райони. Като брой, предприятията в хранителната промишленост са 6000 броя, а предприятия в селските райони - близо 100 000.</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В България основна част на финансирането се осъществява през търговските банки, като  конкретно в сектор "Селско, горско и рибно стопанство" са над 1,185 млн. евро е експозицията към 31 декември 2017 г. От тази експозиция 1,040 млн. евро са към банковия сектор, 141 млн. евро - към лизингови дружества и 4 млн. евро - към дружества специализирани в кредитирането.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статистика, която се изготвя на ниво ЕС, основният проблем на предприятията в България е намиране на персонал. Достъпът до финансиране е на 4 място, като за България 7,3% от предприятията го посочват като основен проблем,  на европейско ниво е около 7,5%. Защо банковите кредити не са подходящи за малки и средни предприятия? Като основна причина 16% от запитаните посочват, че това са високите лихвени проценти. Като тук особеното е, че в ЕС тези стойности са 7%  или на половината. 8% от запитваните посочват изискванията за обезпечение, при средно 4% в Европейския съюз.</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Шидеров обобщи, че на база на тези данни, оценката за недостиг на финансиране е разликата между това, което предприятията търсят като финансиране и това, което финансовата система, предлага като финансиране. Тази оценка предполага близо над 621 млн. евро недостиг на финансиране за предприятията от селските райони и за предприятията в селските райони, които не са свързани със земеделие. Тази оценка само за сектор "Земеделие" е 469 млн. евро и 152 млн. евро за микропредприятия  в селски райони.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През изминалия програмен период, България е една от малкото страни-членки, които имат гаранционна схема по ПРСР. От тази гаранционна схема са останали около 42 млн. евро ресурс, който в момента се използва повторно. Тази схема се прилага през Национален гаранционен фонд и в момента е действаща. Другата схема е по Програма </w:t>
      </w:r>
      <w:r w:rsidRPr="008D41E2">
        <w:rPr>
          <w:rFonts w:ascii="Times New Roman" w:eastAsia="Times New Roman" w:hAnsi="Times New Roman" w:cs="Times New Roman"/>
          <w:sz w:val="24"/>
          <w:szCs w:val="24"/>
          <w:lang w:val="en-US" w:eastAsia="bg-BG"/>
        </w:rPr>
        <w:t>COSME</w:t>
      </w:r>
      <w:r w:rsidRPr="008D41E2">
        <w:rPr>
          <w:rFonts w:ascii="Times New Roman" w:eastAsia="Times New Roman" w:hAnsi="Times New Roman" w:cs="Times New Roman"/>
          <w:sz w:val="24"/>
          <w:szCs w:val="24"/>
          <w:lang w:eastAsia="bg-BG"/>
        </w:rPr>
        <w:t xml:space="preserve"> на Европейския инвестиционен фонд. Тук вече за първи път е допустим сектор "Земеделие", също се предлага SME инициативата, която е по ОП "Конкурентоспособност", но тук сектор "Селско стопанство" не е допустим. Допустими са  предприятия, които са в селските райони и предприятия в хранително-вкусовата промишленост.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Шидеров поясни какво представляват финансовите инструменти и защо акцентът все повече се поставя върху тях? На първо място е възможността да се привлича допълнителен ресурс, т.е. при заделяне на един ресурс от програмата, този ресурс успява да генерира от частния сектор ресурс, който в много пъти надхвърля първоначалния ресурс заделен от програмата.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4304DB">
      <w:pPr>
        <w:widowControl/>
        <w:spacing w:after="0" w:line="240" w:lineRule="auto"/>
        <w:ind w:firstLine="708"/>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Другата полза, както спомена г-н Шидеров и при Гаранционния фонд, е ресурсът, който е заделен от предходния програмен период, той остава и когато гаранциите бъдат освободени, кредитите се изплатят, този ресурс може да се използва повторно. На трето място - използването на финансови инструменти предполага по-добра финансова дисциплина от самите бенефициенти, доколкото ползването на кредити предполага и тяхното връщане - контролът се прехвърля към частния сектор и частният сектор проверява доколко тези проекти са жизнеспособни, доколкото тези проекти трябва да се изплатят от паричните потоци, които този проект генерира.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Шидеров изтъкна, че използването на финансови инструменти носи много по-малко рискове от гледна точка на изкривяване на пазара. Т.е., когато кредитите трябва да се възстановят, това няма как да доведе до бум на определени проекти поради неправилното разчитане на стимулите към такива проекти. Като препоръка, заложена в предварителната оценка, е въвеждане на кредитен инструмент за споделяне на риска. Този извод е направен на база на това, че в момента в България има действащи гаранционни схеми, чиито ресурс все още не е изчерпан и гаранционният инструмент като финансов инструмент е с твърде малко подпомагане от страна на бенефициентите, и гаранционният инструмент подпомага бенефициенти, при които има недостиг на обезпечение и там помощта е много малка. Това, което липсва в момента като инструмент на пазара, за да може наистина бенефициентите да се насочат към такъв тип финансови инструменти, е една малко по-сериозна подкрепа.</w:t>
      </w:r>
    </w:p>
    <w:p w:rsidR="008D41E2" w:rsidRPr="008D41E2" w:rsidRDefault="008D41E2" w:rsidP="004304DB">
      <w:pPr>
        <w:widowControl/>
        <w:spacing w:after="0" w:line="240" w:lineRule="auto"/>
        <w:ind w:firstLine="708"/>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Тази подкрепа би могла да дойде с предоставяне на кредити със споделен риск, така, че да се усети ефекта от използването на този инструмент посредством такъв кредитен инструмент. В момента лихвените проценти са на рекордно ниско ниво. От гледна точка на достъпа до финансиране, лихвените проценти се посочват от бенефициентите като основен проблем при достъпа до финансиране. Достъпът до обезпечение е на второ място с много по-ниски стойности. Все още за част от бенефициентите, особено за микропредприятията, това е сериозен проблем и един такъв кредитен инструмент  ще преодолее това, ще свали значително лихвените нива. От друга страна, при едно бъдещо покачване на лихвените проценти, това споделяне на риск с предоставяне на ресурс ще ги предпази и от бъдещо поскъпване на лихвените нива. Защото ако в момента кредит може да се вземе и при 2, и при 3%, при едно покачване на тези проценти до 5-6% ,това означава двойно увеличение на лихвените разходи и до голяма степен ще доведе до сериозни затруднения за изплащане на тези кредити.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Шидеров посочи, че като предложение е заложено капитализиране на схемата с около 40 млн. евро, дори 40 млн. евро са минимум. За да има някакъв реален ефект, трябва да има ресурс, който да може да се разпредели през финансовата система. Този ресурс, за да се разпредели през финансовата система, трябва се разпредели през поне 3-4 банки, за да не може да се окаже негативно влияние върху сектора, защото ако е ресурсно недостатъчен и се разпредели към една банка, това ще създаде нарушаване на пазара и в крайна сметка няма да има желания ефект.</w:t>
      </w:r>
    </w:p>
    <w:p w:rsidR="008D41E2" w:rsidRPr="008D41E2" w:rsidRDefault="008D41E2" w:rsidP="004304DB">
      <w:pPr>
        <w:widowControl/>
        <w:spacing w:after="0" w:line="240" w:lineRule="auto"/>
        <w:ind w:firstLine="708"/>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Това е един от негативите на една такава кредитна схема, защото тя по начало трябва да е малко по-добре капитализирана отколкото една гаранционна схема. Така че, поне като ресурс, трябва да се стартира с 40 млн. евро. Като в допълнение тези 40 млн. евро могат да привлекат и допълнителен ресурс от финансовия сектор, доколкото един такъв кредитен фонд, капитализиран с такава сума, може да привлече още ресурси от търговските банки към такъв кредитен фонд. Те да вложат своите свободни средства в такъв фонд и вече преценка е на фонд мениджър как да привлече този ресурс от търговските банки. Това може да стане по много начини. Този ресурс може да поеме първостепенния риск, таке че да стимулира другите инвеститори да вложат средства в този фонд, но това е на по следващ етап. Остават тези 40 млн.евро - общата сума на инвестициите по тази схема може да достигне 103 млн. евро или 360 крайни кредитополучатели.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F21D0F">
      <w:pPr>
        <w:widowControl/>
        <w:spacing w:after="0" w:line="240" w:lineRule="auto"/>
        <w:ind w:firstLine="708"/>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На база лихвените проценти към момента очакваната лихва при използване на такъв инструмент ще бъде около 2,5%. Като, примерно, при изчисляване на брутния еквивалент на помощта ще са около 12 хил. евро спестени средства от лихвени разходи, които ще са, де факто, и брутния еквивалент на помощта. Защото, ако е гаранционна схема, няма да бъдат 12 хил. евро спестените разходи, а ще бъдат 2 хил. евро. При една такава гаранционна схема, помощта е в </w:t>
      </w:r>
      <w:r w:rsidRPr="008D41E2">
        <w:rPr>
          <w:rFonts w:ascii="Times New Roman" w:eastAsia="Times New Roman" w:hAnsi="Times New Roman" w:cs="Times New Roman"/>
          <w:sz w:val="24"/>
          <w:szCs w:val="24"/>
          <w:lang w:eastAsia="bg-BG"/>
        </w:rPr>
        <w:lastRenderedPageBreak/>
        <w:t>много по-малък размер, а когато се използва кредитна схема, тя намалява крайната лихва за получателите, защото тя също се калкулира като помощ.</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На второ място, важно е да има такъв инструмент, доколкото вече част от проектите, които са допустими за подпомагане по ПРСР, са възможни единствено и посредством използването на схеми с финансови инструменти.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F21D0F">
      <w:pPr>
        <w:widowControl/>
        <w:spacing w:after="0" w:line="240" w:lineRule="auto"/>
        <w:ind w:firstLine="708"/>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Очакванията на г-н Шидеров са, че в новия програмен период, такъв тип подпомагане ще продължи да бъде ограничавано, като все повече мерки ще бъдат насочени единствено през финансови инструменти. Затова е важно да има такъв тип инструмент в момента или в началото на следващия програмен период, за да има подготовка при тяхното използване и да се натрупа опит в реализацията на такъв тип финансови инструменти.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bCs/>
          <w:sz w:val="24"/>
          <w:szCs w:val="24"/>
          <w:lang w:eastAsia="bg-BG"/>
        </w:rPr>
        <w:t>благодари за изчерпателната информация.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тази точка Комитета по наблюдение приема доклада за сведение.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u w:val="single"/>
          <w:lang w:eastAsia="bg-BG"/>
        </w:rPr>
        <w:t>РЕШЕНИЕ ПО ТОЧКА 7-ма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КН  прие за сведение  доклада за предварителната оценка на финансовите инструменти.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u w:val="single"/>
          <w:lang w:eastAsia="bg-BG"/>
        </w:rPr>
        <w:t>ТОЧКА 8-ма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i/>
          <w:sz w:val="24"/>
          <w:szCs w:val="24"/>
          <w:lang w:eastAsia="bg-BG"/>
        </w:rPr>
        <w:t>Представяне на доклад на Националната служба за съвети в земеделието</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 xml:space="preserve">даде </w:t>
      </w:r>
      <w:r w:rsidRPr="008D41E2">
        <w:rPr>
          <w:rFonts w:ascii="Times New Roman" w:eastAsia="Times New Roman" w:hAnsi="Times New Roman" w:cs="Times New Roman"/>
          <w:bCs/>
          <w:sz w:val="24"/>
          <w:szCs w:val="24"/>
          <w:lang w:eastAsia="bg-BG"/>
        </w:rPr>
        <w:t>думата на г-н Ванев ще представи доклада.</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ДИМИТЪР ВАНЕВ </w:t>
      </w:r>
      <w:r w:rsidRPr="008D41E2">
        <w:rPr>
          <w:rFonts w:ascii="Times New Roman" w:eastAsia="Times New Roman" w:hAnsi="Times New Roman" w:cs="Times New Roman"/>
          <w:sz w:val="24"/>
          <w:szCs w:val="24"/>
          <w:lang w:eastAsia="bg-BG"/>
        </w:rPr>
        <w:t>поздрави всички присъстващи и представи накратко  резултатите от доклада, а именно какво е извършила като дейност Национална  служба за съвети в земеделието по ПРСР от 2014 г. до октомври месец тази година.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Дейности по мярка 2 от ПРСР, т.нар. "Консултантска" мярка. По нея НССЗ е работила по две подмерки 2.1.1 "Консултантски услуги за земеделски и горски стопани" и 2.1.2. "Консултантски услуги за малки земеделски стопанства". Първата е за младите фермери, а втората - за малките земеделски стопанства, съгласно определението в тематичната подпрограма за тях.</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Другата дейност е предоставяне на консултантска дейност по ПРСР.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Г-н Ванев изтъкна, че при тях идват не само фермери, а всички, които се интересуват от ПРСР и те предоставят всякаква информация. Като брой консултациите за този период са 150 000. Отделно друга важна дейност е посещението на място на  земеделските стопанства, където може да се направи преценка, преди представяне на самите консултантски пакети, доколко са допустими.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Важна част от дейността на Националната служба за съвети в земеделието са изнесените приемни по населените места. Всеки, който се интересува може да намери необходимата информация на сайта на НССЗ. Освен това до кметствата и общинските служби се изпраща информация къде точно се провеждат срещите и на място фермерите биват консултирани. Другото, което се прилага от 2-3 години са фермерски кръгове създадени не само от фермери, но и хора от читалища, местни активни лица.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Организират се информационни събития. При стартирането на приема за младите фермери по Мярка 6.1, съвместно с Министерство на земеделието, храните и горите са организирани няколко големи регионални семинара.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Г-н Ванев запозна присъстващите и с малко позната дейност на НССЗ - изготвяне на агрохимични анализи и препоръки за торене на бенефициенти по Мярка 2, т.е. всеки, който използва консултантски пакети по Мярка 2.</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Накратко бяха представени резултатите по двете подмерки.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lastRenderedPageBreak/>
        <w:t>По подмярка 2.1.1 за младите фермери общо за двата приема през 2015 и 2018 г. НССЗ е изготвила проекти на 2240 млади фермери. Това представлява 55% от всички изготвени проекти. Фермерите са спестили около 4,5 млн. разходи за изготвяне на бизнес-планове;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подмярка 2.1.2. са предоставени 6 консултантски пакета. Те включват всичко от това как да торят, как да опазват околната среда, климатични промени, безопасни условия на труд до изготвяне на проекти. Общият брой на тези консултантски пакети до момента е над 17400 броя.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Изготвя се и писмен доклад, който се предоставя на фермера, където е направен подробен анализ на стопанството и са дадени препоръки. Тези писмени доклади са над 5000.</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По отношение на изготвяне на проекти по подмярка 4.1.2. са изготвени 150 бизнес-плана. Службата е помогнала както на младите фермери, така и на малките стопанства. При кандидатстване се оказва пълна подкрепа по подаване на проекта в ИСУН.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По подмярка 6.3 и 6.1 дейността, която трудно се отчита, но е много важна, е изготвянето на заявки за плащане. Като и много често отговорите по десетдневките, или т.нар. писма за допълнителна информация, се изготвят от НССЗ.</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 въпроси и коментари.</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МАЙКЪЛ ПИЛКЕ </w:t>
      </w:r>
      <w:r w:rsidRPr="008D41E2">
        <w:rPr>
          <w:rFonts w:ascii="Times New Roman" w:eastAsia="Times New Roman" w:hAnsi="Times New Roman" w:cs="Times New Roman"/>
          <w:sz w:val="24"/>
          <w:szCs w:val="24"/>
          <w:lang w:eastAsia="bg-BG"/>
        </w:rPr>
        <w:t>благодари за</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изчерпателния доклад и попита един съветник колко фермери обхваща.</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ДИМИТЪР ВАНЕВ </w:t>
      </w:r>
      <w:r w:rsidRPr="008D41E2">
        <w:rPr>
          <w:rFonts w:ascii="Times New Roman" w:eastAsia="Times New Roman" w:hAnsi="Times New Roman" w:cs="Times New Roman"/>
          <w:sz w:val="24"/>
          <w:szCs w:val="24"/>
          <w:lang w:eastAsia="bg-BG"/>
        </w:rPr>
        <w:t>отговори, че средногодишно НССЗ обслужва около 18 000 фермера, което на база всички регистрирани представлява около 90 000. На този етап  се покриват около 15% от всички фермери, като не малка част от лицата не са  фермери, но имат желание да се занимават със земеделие. Много често има млади хора, които имат наследствена земя или имат желание да се занимават със земеделие, които идват в Службата, т.е. около 20-30% са потенциални бъдещи фермери.</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ЛОЗАНА ВАСИЛЕВА </w:t>
      </w:r>
      <w:r w:rsidRPr="008D41E2">
        <w:rPr>
          <w:rFonts w:ascii="Times New Roman" w:eastAsia="Times New Roman" w:hAnsi="Times New Roman" w:cs="Times New Roman"/>
          <w:sz w:val="24"/>
          <w:szCs w:val="24"/>
          <w:lang w:eastAsia="bg-BG"/>
        </w:rPr>
        <w:t>благодари за изчерпателната информация.</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u w:val="single"/>
          <w:lang w:eastAsia="bg-BG"/>
        </w:rPr>
        <w:t>РЕШЕНИЕ ПО ТОЧКА 8-ма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КН прие за сведение доклада на Националната служба за съвети в земеделието.</w:t>
      </w:r>
    </w:p>
    <w:p w:rsidR="008D41E2" w:rsidRPr="008D41E2" w:rsidRDefault="008D41E2" w:rsidP="008D41E2">
      <w:pPr>
        <w:widowControl/>
        <w:spacing w:after="0" w:line="240" w:lineRule="auto"/>
        <w:jc w:val="both"/>
        <w:rPr>
          <w:rFonts w:ascii="Times New Roman" w:eastAsia="Times New Roman" w:hAnsi="Times New Roman" w:cs="Times New Roman"/>
          <w:b/>
          <w:sz w:val="24"/>
          <w:szCs w:val="24"/>
          <w:u w:val="single"/>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b/>
          <w:sz w:val="24"/>
          <w:szCs w:val="24"/>
          <w:u w:val="single"/>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u w:val="single"/>
          <w:lang w:eastAsia="bg-BG"/>
        </w:rPr>
        <w:t>ТОЧКА 9-та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i/>
          <w:sz w:val="24"/>
          <w:szCs w:val="24"/>
          <w:lang w:eastAsia="bg-BG"/>
        </w:rPr>
        <w:t>Други. Информация за Националната селска мрежа</w:t>
      </w:r>
    </w:p>
    <w:p w:rsidR="008D41E2" w:rsidRPr="008D41E2" w:rsidRDefault="008D41E2" w:rsidP="008D41E2">
      <w:pPr>
        <w:widowControl/>
        <w:spacing w:after="0" w:line="240" w:lineRule="auto"/>
        <w:jc w:val="both"/>
        <w:rPr>
          <w:rFonts w:ascii="Times New Roman" w:eastAsia="Times New Roman" w:hAnsi="Times New Roman" w:cs="Times New Roman"/>
          <w:i/>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Д-р ЛОЗАНА ВАСИЛЕВА</w:t>
      </w:r>
      <w:r w:rsidRPr="008D41E2">
        <w:rPr>
          <w:rFonts w:ascii="Times New Roman" w:eastAsia="Times New Roman" w:hAnsi="Times New Roman" w:cs="Times New Roman"/>
          <w:sz w:val="24"/>
          <w:szCs w:val="24"/>
          <w:lang w:val="en-US" w:eastAsia="bg-BG"/>
        </w:rPr>
        <w:t xml:space="preserve"> </w:t>
      </w:r>
      <w:r w:rsidRPr="008D41E2">
        <w:rPr>
          <w:rFonts w:ascii="Times New Roman" w:eastAsia="Times New Roman" w:hAnsi="Times New Roman" w:cs="Times New Roman"/>
          <w:sz w:val="24"/>
          <w:szCs w:val="24"/>
          <w:lang w:eastAsia="bg-BG"/>
        </w:rPr>
        <w:t>даде думата на г-н Аспарухов.</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АНТОН АСПАРУХОВ  </w:t>
      </w:r>
      <w:r w:rsidRPr="008D41E2">
        <w:rPr>
          <w:rFonts w:ascii="Times New Roman" w:eastAsia="Times New Roman" w:hAnsi="Times New Roman" w:cs="Times New Roman"/>
          <w:sz w:val="24"/>
          <w:szCs w:val="24"/>
          <w:lang w:eastAsia="bg-BG"/>
        </w:rPr>
        <w:t>уточни, че</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УО има още едно задължение по регламент и то е за създаване и управление на Национална селска мрежа за развитие на селските райони. Това задължение е упоменато в чл. 54 от Регламента</w:t>
      </w:r>
      <w:r w:rsidRPr="008D41E2">
        <w:rPr>
          <w:rFonts w:ascii="Times New Roman" w:eastAsia="Times New Roman" w:hAnsi="Times New Roman" w:cs="Times New Roman"/>
          <w:sz w:val="24"/>
          <w:szCs w:val="24"/>
          <w:lang w:val="en-US" w:eastAsia="bg-BG"/>
        </w:rPr>
        <w:t xml:space="preserve">, </w:t>
      </w:r>
      <w:r w:rsidRPr="008D41E2">
        <w:rPr>
          <w:rFonts w:ascii="Times New Roman" w:eastAsia="Times New Roman" w:hAnsi="Times New Roman" w:cs="Times New Roman"/>
          <w:sz w:val="24"/>
          <w:szCs w:val="24"/>
          <w:lang w:eastAsia="bg-BG"/>
        </w:rPr>
        <w:t>според който всяка държава-членка трябва да създаде Национална мрежа на селските райони, която да обедини организациите, работещи в сферата на земеделието и администрацията в една единна мрежа.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val="en-US"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Основната идея на мрежата е да подобри разпространението на информация за програмата и обратната връзка от заинтересованите страни. Тази функция тя би трябвало да извършва като свързва ефективно администрацията и заинтересованите страни чрез провеждане на семинари, работни групи, споделяне на добри практики. В изпълнение на това си задължение УО обяви обществена поръчка в края на 2017 г. с предмет "Поддържане и укрепване на Звено за управление на национална селска мрежа на ПРСР". От постъпилите 2 оферти - от обединение "Селска мрежа БГ", дружество по Закон за задълженията и договорите, и обединение "Агро Нет Консулт", чрез конкурентен подбор в процедурата, за изпълнител е избран "Селска мрежа БГ".</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Към настоящия момент, звеното за управление на "Селска мрежа" е в етап на подготвителни дейности. Предстои стартиране на нов сайт на мрежата и активиране и привличане на членската маса в Национална селска мрежа, съгласно поетите от спечелилия изпълнител ангажименти. </w:t>
      </w:r>
      <w:r w:rsidRPr="008D41E2">
        <w:rPr>
          <w:rFonts w:ascii="Times New Roman" w:eastAsia="Times New Roman" w:hAnsi="Times New Roman" w:cs="Times New Roman"/>
          <w:sz w:val="24"/>
          <w:szCs w:val="24"/>
          <w:lang w:eastAsia="bg-BG"/>
        </w:rPr>
        <w:lastRenderedPageBreak/>
        <w:t>Като бъдещо действие е планирано събитие с оглед предстоящия прием по Мярка 16.1."Подкрепа за сформиране и функциониране на оперативни групи за иновации". Предвижда се да се проведе семинар на тема "Популяризиране на възможностите за финансиране на иновативни проекти и създаване на връзки между научните институти и земеделските производители", което кореспондира и с идентифицираните нужди в ПРСР. Събитието се планира за първото тримесечие за следващата година, за което ще бъдат информирани и всички неправителствени организации, работещи в сферата на земеделието.</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за</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въпроси и коментари.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СТАНКА ТАЧЕВА, Бизнес-център, Нова Загора </w:t>
      </w:r>
      <w:r w:rsidRPr="008D41E2">
        <w:rPr>
          <w:rFonts w:ascii="Times New Roman" w:eastAsia="Times New Roman" w:hAnsi="Times New Roman" w:cs="Times New Roman"/>
          <w:sz w:val="24"/>
          <w:szCs w:val="24"/>
          <w:lang w:eastAsia="bg-BG"/>
        </w:rPr>
        <w:t>припомни,</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че Националната селска мрежа през първия планов период стартира през декември 2012 г. с голямо закъснение. Тогава проектът е спечелен от организация със седалище в Рим, със звено в България, като дейността е вървяла добре, но в последствие нищо от това, което е предприето от Министерство на земеделието в служебното правителство, не се случва.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Г-жа Тачева попита умишлено ли отново се забавя стартирането на селската мрежа, след като този планов период е започнал преди 3 години и коя е организацията, която ще администрира националната селската мрежа, има ли тя необходимия капацитет. Тя отправи питане и към г-н Пилке защо не са реагирали на това закъснение, и защо се допуска това и във втория планов период. Ще бъдат ли включени и други организации, които са извън Местните инициативни групи, администрирани от общините.</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 xml:space="preserve">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АНТОН АСПАРУХОВ </w:t>
      </w:r>
      <w:r w:rsidRPr="008D41E2">
        <w:rPr>
          <w:rFonts w:ascii="Times New Roman" w:eastAsia="Times New Roman" w:hAnsi="Times New Roman" w:cs="Times New Roman"/>
          <w:sz w:val="24"/>
          <w:szCs w:val="24"/>
          <w:lang w:eastAsia="bg-BG"/>
        </w:rPr>
        <w:t>отговори, че</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членството е открито за всички, които имат желание да членуват в мрежата. Организациите от сектор "Земеделие" трябва да са активните участници в селската мрежа. Сайтът ще бъде активиран, там ще има заявка за членство, която да бъде попълнена и подадена.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СТАНКА ТАЧЕВА </w:t>
      </w:r>
      <w:r w:rsidRPr="008D41E2">
        <w:rPr>
          <w:rFonts w:ascii="Times New Roman" w:eastAsia="Times New Roman" w:hAnsi="Times New Roman" w:cs="Times New Roman"/>
          <w:sz w:val="24"/>
          <w:szCs w:val="24"/>
          <w:lang w:eastAsia="bg-BG"/>
        </w:rPr>
        <w:t xml:space="preserve">настоя да получи отговор на въпроса защо във втори планов период се допуска толкова късно стартиране на Националната селска мрежа, т.е. тя ще започне да работи в края на самия период. Какъв е ефектът от похарчените пари за година и нещо, това са пари на европейските данъкоплатци. Въпросът е към г-н Пилке.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АНТОН АСПАРУХОВ </w:t>
      </w:r>
      <w:r w:rsidRPr="008D41E2">
        <w:rPr>
          <w:rFonts w:ascii="Times New Roman" w:eastAsia="Times New Roman" w:hAnsi="Times New Roman" w:cs="Times New Roman"/>
          <w:sz w:val="24"/>
          <w:szCs w:val="24"/>
          <w:lang w:eastAsia="bg-BG"/>
        </w:rPr>
        <w:t>уточни, че краят на програмния период е 2023 г. и има достатъчно време тази мрежа да заработи ефективно, да включи заинтересованите страни в процесите на вземане на решения.  Има и други форми за включване на заинтересованите страни в процеса на вземане на решения - като Комитета по наблюдение, тематични работни групи, семинари на различни теми,  за да се обере този вакуум от липсата на мрежа.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СТАНКА ТАЧЕВА </w:t>
      </w:r>
      <w:r w:rsidRPr="008D41E2">
        <w:rPr>
          <w:rFonts w:ascii="Times New Roman" w:eastAsia="Times New Roman" w:hAnsi="Times New Roman" w:cs="Times New Roman"/>
          <w:sz w:val="24"/>
          <w:szCs w:val="24"/>
          <w:lang w:eastAsia="bg-BG"/>
        </w:rPr>
        <w:t>поиска отговор и на другия й въпрос - малко повече информация за организацията, спечелила конкурса, има ли необходимия капацитет,  има ли стратегия как ще работи занапред и как ще харчи парите на европейския данъкоплатец.</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АНТОН АСПАРУХОВ </w:t>
      </w:r>
      <w:r w:rsidRPr="008D41E2">
        <w:rPr>
          <w:rFonts w:ascii="Times New Roman" w:eastAsia="Times New Roman" w:hAnsi="Times New Roman" w:cs="Times New Roman"/>
          <w:sz w:val="24"/>
          <w:szCs w:val="24"/>
          <w:lang w:eastAsia="bg-BG"/>
        </w:rPr>
        <w:t>отговори, че</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 xml:space="preserve">капацитетът е описан много точно и ясно в техническото задание. То е изискване към експертен състав, офиси, координатори, 28 регионални координатора и звена. Участникът е покрил всички тези изисквания, които са необходими условия за капацитет. Спечелилият кандидат вече е обявен - Обединение "Селска мрежа БГ". Г-жа Таня Дъбнишка е отговорно лице в структурирането и управление на звеното  на  "Селска мрежа".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 думата на г-жа Дъбнишка.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ТАНЯ ДЪБНИШКА </w:t>
      </w:r>
      <w:r w:rsidRPr="008D41E2">
        <w:rPr>
          <w:rFonts w:ascii="Times New Roman" w:eastAsia="Times New Roman" w:hAnsi="Times New Roman" w:cs="Times New Roman"/>
          <w:sz w:val="24"/>
          <w:szCs w:val="24"/>
          <w:lang w:eastAsia="bg-BG"/>
        </w:rPr>
        <w:t xml:space="preserve">представи накратко обединението, което представлява.  Поръчката е проведена по Закона за обществените поръчки, цялата налична информация се съдържа в документите, всички критерии по отношение на капацитета и потенциала - експертност, </w:t>
      </w:r>
      <w:r w:rsidRPr="008D41E2">
        <w:rPr>
          <w:rFonts w:ascii="Times New Roman" w:eastAsia="Times New Roman" w:hAnsi="Times New Roman" w:cs="Times New Roman"/>
          <w:sz w:val="24"/>
          <w:szCs w:val="24"/>
          <w:lang w:eastAsia="bg-BG"/>
        </w:rPr>
        <w:lastRenderedPageBreak/>
        <w:t>квалификация и опит на самите експерти, са покрити. Капацитетът на експертите, по отношение на ПРСР, е изключително висок и това са разпознаваеми лица.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В момента се подготвя нов сайт с модерна архитектура, с много повече информация и възможности за комуникации и обединение на заинтересованите страни.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sz w:val="24"/>
          <w:szCs w:val="24"/>
          <w:lang w:eastAsia="bg-BG"/>
        </w:rPr>
        <w:t>Развива се активен профил в социалните мрежи с възможност за контакт и непрестанна връзка с експертите. Посочени са контакти за физическото местонахождение като офис на звеното за управление в София и за връзка с експертите. До края на януари се предвижда да се пусне  сайта, от който да се черпи допълнителна информация. Звеното е национално представено. Г-жа Дъбнишка подчерта, че е на разположение за всякакви въпроси.</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даде</w:t>
      </w:r>
      <w:r w:rsidRPr="008D41E2">
        <w:rPr>
          <w:rFonts w:ascii="Times New Roman" w:eastAsia="Times New Roman" w:hAnsi="Times New Roman" w:cs="Times New Roman"/>
          <w:b/>
          <w:bCs/>
          <w:sz w:val="24"/>
          <w:szCs w:val="24"/>
          <w:lang w:eastAsia="bg-BG"/>
        </w:rPr>
        <w:t xml:space="preserve"> </w:t>
      </w:r>
      <w:r w:rsidRPr="008D41E2">
        <w:rPr>
          <w:rFonts w:ascii="Times New Roman" w:eastAsia="Times New Roman" w:hAnsi="Times New Roman" w:cs="Times New Roman"/>
          <w:sz w:val="24"/>
          <w:szCs w:val="24"/>
          <w:lang w:eastAsia="bg-BG"/>
        </w:rPr>
        <w:t>думата на г-н Пилке.</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МАЙКЪЛ ПИЛКЕ </w:t>
      </w:r>
      <w:r w:rsidRPr="008D41E2">
        <w:rPr>
          <w:rFonts w:ascii="Times New Roman" w:eastAsia="Times New Roman" w:hAnsi="Times New Roman" w:cs="Times New Roman"/>
          <w:sz w:val="24"/>
          <w:szCs w:val="24"/>
          <w:lang w:eastAsia="bg-BG"/>
        </w:rPr>
        <w:t xml:space="preserve">изтъкна, че в ЕК не са доволни от забавянето в програмния период на учредяването на Национална селска мрежа. Относно коментара за членство в Националната селска мрежа, той подчерта, че тя трябва да бъде отворена към всички заинтересовани страни, не само към определени земеделски производители или определени лица. ЕК смята много стриктно да следи за това в комуникацията си с УО. Като представител на ЕК, г-н Пилке съжалява, че има закъснение и посочи, че има определени поуки, които да бъдат извлечени от тази ситуация.  </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СТАНКА ТАЧЕВА </w:t>
      </w:r>
      <w:r w:rsidRPr="008D41E2">
        <w:rPr>
          <w:rFonts w:ascii="Times New Roman" w:eastAsia="Times New Roman" w:hAnsi="Times New Roman" w:cs="Times New Roman"/>
          <w:sz w:val="24"/>
          <w:szCs w:val="24"/>
          <w:lang w:eastAsia="bg-BG"/>
        </w:rPr>
        <w:t>постави още един въпрос, който според нея е важен за всички членове на Националната селска мрежа от предния планов период - дали старите членове отново ще подават заявление или ще има приемственост.</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Г-н АНТОН АСПАРУХОВ </w:t>
      </w:r>
      <w:r w:rsidRPr="008D41E2">
        <w:rPr>
          <w:rFonts w:ascii="Times New Roman" w:eastAsia="Times New Roman" w:hAnsi="Times New Roman" w:cs="Times New Roman"/>
          <w:sz w:val="24"/>
          <w:szCs w:val="24"/>
          <w:lang w:eastAsia="bg-BG"/>
        </w:rPr>
        <w:t>отговори, че не е необходимо ново заявяване на членство, но е добре съществуващите членовете да потвърдят участието си, което ще е заявка за интерес от тяхна страна, че съществуват и са активни участници в процеса.</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Г-жа ТАНЯ ДЪБНИШКА </w:t>
      </w:r>
      <w:r w:rsidRPr="008D41E2">
        <w:rPr>
          <w:rFonts w:ascii="Times New Roman" w:eastAsia="Times New Roman" w:hAnsi="Times New Roman" w:cs="Times New Roman"/>
          <w:sz w:val="24"/>
          <w:szCs w:val="24"/>
          <w:lang w:eastAsia="bg-BG"/>
        </w:rPr>
        <w:t>уточни, че е разработена нова форма на заявката за членство, която съдържа и анкетна част, която е изключително важна, за да може всички страни, които са от различно естество по ПРСР, да бъдат селектирани и таргетирани по различните дейности. Членовете сами могат да заявят своя интерес, за да няма някой, чийто интерес е подценен.</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 xml:space="preserve">Д-р ЛОЗАНА ВАСИЛЕВА </w:t>
      </w:r>
      <w:r w:rsidRPr="008D41E2">
        <w:rPr>
          <w:rFonts w:ascii="Times New Roman" w:eastAsia="Times New Roman" w:hAnsi="Times New Roman" w:cs="Times New Roman"/>
          <w:sz w:val="24"/>
          <w:szCs w:val="24"/>
          <w:lang w:eastAsia="bg-BG"/>
        </w:rPr>
        <w:t>прекрати дискусиите по точка 9.</w:t>
      </w:r>
    </w:p>
    <w:p w:rsidR="008D41E2" w:rsidRPr="008D41E2" w:rsidRDefault="008D41E2" w:rsidP="008D41E2">
      <w:pPr>
        <w:widowControl/>
        <w:spacing w:after="0" w:line="240" w:lineRule="auto"/>
        <w:jc w:val="both"/>
        <w:rPr>
          <w:rFonts w:ascii="Times New Roman" w:eastAsia="Times New Roman" w:hAnsi="Times New Roman" w:cs="Times New Roman"/>
          <w:b/>
          <w:bCs/>
          <w:sz w:val="24"/>
          <w:szCs w:val="24"/>
          <w:u w:val="single"/>
          <w:lang w:eastAsia="bg-BG"/>
        </w:rPr>
      </w:pP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u w:val="single"/>
          <w:lang w:eastAsia="bg-BG"/>
        </w:rPr>
        <w:t>РЕШЕНИЕ ПО ТОЧКА 9-та ОТ ДНЕВНИЯ РЕД:</w:t>
      </w:r>
    </w:p>
    <w:p w:rsidR="008D41E2" w:rsidRPr="008D41E2" w:rsidRDefault="008D41E2" w:rsidP="008D41E2">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bCs/>
          <w:sz w:val="24"/>
          <w:szCs w:val="24"/>
          <w:lang w:eastAsia="bg-BG"/>
        </w:rPr>
        <w:t>КН прие за сведение информацията за Националната селска мрежа</w:t>
      </w:r>
      <w:r w:rsidRPr="008D41E2">
        <w:rPr>
          <w:rFonts w:ascii="Times New Roman" w:eastAsia="Times New Roman" w:hAnsi="Times New Roman" w:cs="Times New Roman"/>
          <w:b/>
          <w:bCs/>
          <w:i/>
          <w:sz w:val="24"/>
          <w:szCs w:val="24"/>
          <w:lang w:eastAsia="bg-BG"/>
        </w:rPr>
        <w:t>.</w:t>
      </w:r>
    </w:p>
    <w:p w:rsidR="008D41E2" w:rsidRPr="008D41E2" w:rsidRDefault="008D41E2" w:rsidP="008D41E2">
      <w:pPr>
        <w:widowControl/>
        <w:spacing w:after="0" w:line="240" w:lineRule="auto"/>
        <w:jc w:val="both"/>
        <w:rPr>
          <w:rFonts w:ascii="Times New Roman" w:eastAsia="Times New Roman" w:hAnsi="Times New Roman" w:cs="Times New Roman"/>
          <w:i/>
          <w:sz w:val="24"/>
          <w:szCs w:val="24"/>
          <w:lang w:eastAsia="bg-BG"/>
        </w:rPr>
      </w:pPr>
    </w:p>
    <w:p w:rsidR="00BD3E0A" w:rsidRPr="00C9352C" w:rsidRDefault="008D41E2" w:rsidP="00C9352C">
      <w:pPr>
        <w:widowControl/>
        <w:spacing w:after="0" w:line="240" w:lineRule="auto"/>
        <w:jc w:val="both"/>
        <w:rPr>
          <w:rFonts w:ascii="Times New Roman" w:eastAsia="Times New Roman" w:hAnsi="Times New Roman" w:cs="Times New Roman"/>
          <w:sz w:val="24"/>
          <w:szCs w:val="24"/>
          <w:lang w:eastAsia="bg-BG"/>
        </w:rPr>
      </w:pPr>
      <w:r w:rsidRPr="008D41E2">
        <w:rPr>
          <w:rFonts w:ascii="Times New Roman" w:eastAsia="Times New Roman" w:hAnsi="Times New Roman" w:cs="Times New Roman"/>
          <w:b/>
          <w:sz w:val="24"/>
          <w:szCs w:val="24"/>
          <w:lang w:eastAsia="bg-BG"/>
        </w:rPr>
        <w:t>Д-р ЛОЗАНА ВАСИЛЕВА</w:t>
      </w:r>
      <w:r w:rsidRPr="008D41E2">
        <w:rPr>
          <w:rFonts w:ascii="Times New Roman" w:eastAsia="Times New Roman" w:hAnsi="Times New Roman" w:cs="Times New Roman"/>
          <w:sz w:val="24"/>
          <w:szCs w:val="24"/>
          <w:lang w:eastAsia="bg-BG"/>
        </w:rPr>
        <w:t xml:space="preserve"> </w:t>
      </w:r>
      <w:r w:rsidRPr="008D41E2">
        <w:rPr>
          <w:rFonts w:ascii="Times New Roman" w:eastAsia="Times New Roman" w:hAnsi="Times New Roman" w:cs="Times New Roman"/>
          <w:b/>
          <w:sz w:val="24"/>
          <w:szCs w:val="24"/>
          <w:lang w:eastAsia="bg-BG"/>
        </w:rPr>
        <w:t>изказа благодарност на всички присъстващи</w:t>
      </w:r>
      <w:r w:rsidRPr="008D41E2">
        <w:rPr>
          <w:rFonts w:ascii="Times New Roman" w:eastAsia="Times New Roman" w:hAnsi="Times New Roman" w:cs="Times New Roman"/>
          <w:sz w:val="24"/>
          <w:szCs w:val="24"/>
          <w:lang w:eastAsia="bg-BG"/>
        </w:rPr>
        <w:t xml:space="preserve"> за активната  дискусия и за подкрепата в предложенията на Управляващия орган на ПРСР(2014-2020). С пожелания за весели празници и успех през новата 2019 г., тя закри 11 заседание на КН на ПРСР (2014-2020).</w:t>
      </w:r>
      <w:r w:rsidR="00E17BE8">
        <w:tab/>
      </w:r>
      <w:r w:rsidR="00E17BE8">
        <w:tab/>
      </w:r>
    </w:p>
    <w:p w:rsidR="00BD3E0A" w:rsidRDefault="00BD3E0A">
      <w:pPr>
        <w:pStyle w:val="Standard"/>
        <w:widowControl w:val="0"/>
        <w:jc w:val="right"/>
        <w:rPr>
          <w:b/>
          <w:i/>
        </w:rPr>
      </w:pPr>
    </w:p>
    <w:p w:rsidR="00C9352C" w:rsidRDefault="00C9352C">
      <w:pPr>
        <w:pStyle w:val="Standard"/>
        <w:widowControl w:val="0"/>
        <w:jc w:val="right"/>
        <w:rPr>
          <w:b/>
          <w:i/>
        </w:rPr>
      </w:pPr>
    </w:p>
    <w:p w:rsidR="00BD3E0A" w:rsidRDefault="00E17BE8">
      <w:pPr>
        <w:pStyle w:val="Standard"/>
        <w:widowControl w:val="0"/>
        <w:jc w:val="right"/>
        <w:rPr>
          <w:b/>
          <w:i/>
        </w:rPr>
      </w:pPr>
      <w:r>
        <w:rPr>
          <w:b/>
          <w:i/>
        </w:rPr>
        <w:t xml:space="preserve">  </w:t>
      </w:r>
      <w:r w:rsidR="0003502D">
        <w:rPr>
          <w:b/>
          <w:i/>
        </w:rPr>
        <w:t>Приложение № 1</w:t>
      </w:r>
    </w:p>
    <w:p w:rsidR="00E17BE8" w:rsidRDefault="00E17BE8">
      <w:pPr>
        <w:pStyle w:val="Standard"/>
        <w:widowControl w:val="0"/>
        <w:jc w:val="right"/>
        <w:rPr>
          <w:b/>
          <w:i/>
        </w:rPr>
      </w:pPr>
    </w:p>
    <w:p w:rsidR="00BD3E0A" w:rsidRDefault="00BD3E0A">
      <w:pPr>
        <w:pStyle w:val="Standard"/>
        <w:widowControl w:val="0"/>
        <w:jc w:val="both"/>
        <w:rPr>
          <w:b/>
          <w:i/>
        </w:rPr>
      </w:pPr>
    </w:p>
    <w:p w:rsidR="00E17BE8" w:rsidRDefault="00E17BE8">
      <w:pPr>
        <w:pStyle w:val="Standard"/>
        <w:widowControl w:val="0"/>
        <w:jc w:val="both"/>
        <w:rPr>
          <w:b/>
          <w:i/>
        </w:rPr>
      </w:pPr>
    </w:p>
    <w:p w:rsidR="00E17BE8" w:rsidRPr="00E17BE8" w:rsidRDefault="00E17BE8" w:rsidP="00E17BE8">
      <w:pPr>
        <w:widowControl/>
        <w:suppressAutoHyphens w:val="0"/>
        <w:autoSpaceDN/>
        <w:spacing w:after="0" w:line="360" w:lineRule="auto"/>
        <w:jc w:val="center"/>
        <w:textAlignment w:val="auto"/>
        <w:rPr>
          <w:rFonts w:ascii="Verdana" w:eastAsiaTheme="minorHAnsi" w:hAnsi="Verdana" w:cs="Times New Roman"/>
          <w:b/>
          <w:kern w:val="0"/>
          <w:sz w:val="20"/>
          <w:szCs w:val="20"/>
        </w:rPr>
      </w:pPr>
      <w:r w:rsidRPr="00E17BE8">
        <w:rPr>
          <w:rFonts w:ascii="Verdana" w:eastAsiaTheme="minorHAnsi" w:hAnsi="Verdana" w:cs="Times New Roman"/>
          <w:b/>
          <w:kern w:val="0"/>
          <w:sz w:val="20"/>
          <w:szCs w:val="20"/>
        </w:rPr>
        <w:t xml:space="preserve">Т. 3.1 и 3.3. Предложение на Управляващия орган на Програмата за развитие на селските райони 2014-2020 г. за промяна на текста на </w:t>
      </w:r>
    </w:p>
    <w:p w:rsidR="00E17BE8" w:rsidRPr="00E17BE8" w:rsidRDefault="00E17BE8" w:rsidP="00E17BE8">
      <w:pPr>
        <w:widowControl/>
        <w:suppressAutoHyphens w:val="0"/>
        <w:autoSpaceDN/>
        <w:spacing w:after="0" w:line="360" w:lineRule="auto"/>
        <w:jc w:val="center"/>
        <w:textAlignment w:val="auto"/>
        <w:rPr>
          <w:rFonts w:ascii="Verdana" w:eastAsiaTheme="minorHAnsi" w:hAnsi="Verdana" w:cs="Times New Roman"/>
          <w:b/>
          <w:kern w:val="0"/>
          <w:sz w:val="20"/>
          <w:szCs w:val="20"/>
        </w:rPr>
      </w:pPr>
      <w:r w:rsidRPr="00E17BE8">
        <w:rPr>
          <w:rFonts w:ascii="Verdana" w:eastAsiaTheme="minorHAnsi" w:hAnsi="Verdana" w:cs="Times New Roman"/>
          <w:b/>
          <w:kern w:val="0"/>
          <w:sz w:val="20"/>
          <w:szCs w:val="20"/>
        </w:rPr>
        <w:t>подмярка 1.1. „Професионално обучение и придобиване на умения“</w:t>
      </w:r>
    </w:p>
    <w:p w:rsidR="00E17BE8" w:rsidRP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p w:rsidR="00E17BE8" w:rsidRPr="00E17BE8" w:rsidRDefault="00E17BE8" w:rsidP="00E17BE8">
      <w:pPr>
        <w:widowControl/>
        <w:numPr>
          <w:ilvl w:val="0"/>
          <w:numId w:val="38"/>
        </w:numPr>
        <w:suppressAutoHyphens w:val="0"/>
        <w:autoSpaceDN/>
        <w:spacing w:after="0" w:line="360" w:lineRule="auto"/>
        <w:contextualSpacing/>
        <w:jc w:val="both"/>
        <w:textAlignment w:val="auto"/>
        <w:rPr>
          <w:rFonts w:ascii="Verdana" w:eastAsiaTheme="minorHAnsi" w:hAnsi="Verdana" w:cs="Times New Roman"/>
          <w:b/>
          <w:kern w:val="0"/>
          <w:sz w:val="20"/>
          <w:szCs w:val="20"/>
        </w:rPr>
      </w:pPr>
      <w:r w:rsidRPr="00E17BE8">
        <w:rPr>
          <w:rFonts w:ascii="Verdana" w:eastAsiaTheme="minorHAnsi" w:hAnsi="Verdana" w:cs="Times New Roman"/>
          <w:b/>
          <w:kern w:val="0"/>
          <w:sz w:val="20"/>
          <w:szCs w:val="20"/>
        </w:rPr>
        <w:lastRenderedPageBreak/>
        <w:t>Управляващият орган предлага да отпаднат ваучерите, като инструмент, който</w:t>
      </w:r>
      <w:r w:rsidRPr="00E17BE8">
        <w:rPr>
          <w:rFonts w:ascii="Verdana" w:eastAsiaTheme="minorHAnsi" w:hAnsi="Verdana" w:cs="Times New Roman"/>
          <w:b/>
          <w:kern w:val="0"/>
          <w:sz w:val="20"/>
          <w:szCs w:val="20"/>
          <w:lang w:val="en-US"/>
        </w:rPr>
        <w:t xml:space="preserve"> </w:t>
      </w:r>
      <w:r w:rsidRPr="00E17BE8">
        <w:rPr>
          <w:rFonts w:ascii="Verdana" w:eastAsiaTheme="minorHAnsi" w:hAnsi="Verdana" w:cs="Times New Roman"/>
          <w:b/>
          <w:kern w:val="0"/>
          <w:sz w:val="20"/>
          <w:szCs w:val="20"/>
        </w:rPr>
        <w:t>се прилага в рамките на подмярка 1.1. „Професионално обучение и придобиване на умения“.</w:t>
      </w:r>
    </w:p>
    <w:p w:rsidR="00E17BE8" w:rsidRP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r w:rsidRPr="00E17BE8">
        <w:rPr>
          <w:rFonts w:ascii="Verdana" w:eastAsiaTheme="minorHAnsi" w:hAnsi="Verdana" w:cs="Times New Roman"/>
          <w:kern w:val="0"/>
          <w:sz w:val="20"/>
          <w:szCs w:val="20"/>
        </w:rPr>
        <w:t>Ваучерите са ценни книги с фиксирана номинална стойност в лева и даващи право на притежателя да премине определен вид обучение. За да бъдат издавани ваучери от Мини</w:t>
      </w:r>
      <w:r w:rsidRPr="00E17BE8">
        <w:rPr>
          <w:rFonts w:ascii="Verdana" w:eastAsiaTheme="minorHAnsi" w:hAnsi="Verdana" w:cs="Times New Roman"/>
          <w:kern w:val="0"/>
          <w:sz w:val="20"/>
          <w:szCs w:val="20"/>
        </w:rPr>
        <w:t>с</w:t>
      </w:r>
      <w:r w:rsidRPr="00E17BE8">
        <w:rPr>
          <w:rFonts w:ascii="Verdana" w:eastAsiaTheme="minorHAnsi" w:hAnsi="Verdana" w:cs="Times New Roman"/>
          <w:kern w:val="0"/>
          <w:sz w:val="20"/>
          <w:szCs w:val="20"/>
        </w:rPr>
        <w:t>терството на земеделието, храните и горите е необходимо да бъде разработено и прието постановление на Министерския съвет, определящо правно основание за предприемане на такова действие. Процедурата по приемане на този нормативен акт отнема значителен пер</w:t>
      </w:r>
      <w:r w:rsidRPr="00E17BE8">
        <w:rPr>
          <w:rFonts w:ascii="Verdana" w:eastAsiaTheme="minorHAnsi" w:hAnsi="Verdana" w:cs="Times New Roman"/>
          <w:kern w:val="0"/>
          <w:sz w:val="20"/>
          <w:szCs w:val="20"/>
        </w:rPr>
        <w:t>и</w:t>
      </w:r>
      <w:r w:rsidRPr="00E17BE8">
        <w:rPr>
          <w:rFonts w:ascii="Verdana" w:eastAsiaTheme="minorHAnsi" w:hAnsi="Verdana" w:cs="Times New Roman"/>
          <w:kern w:val="0"/>
          <w:sz w:val="20"/>
          <w:szCs w:val="20"/>
        </w:rPr>
        <w:t>од от време с оглед установените в законодателството срокове. Също така, за издаване на ваучерите се следва процедура по Наредбата за условията и реда за отпечатване и контрол върху ценни книжа, която също води до увеличаване на срока за стартиране на подмярката. Тези процедури ще забавят процеса на прилагане на подмярката, поради което с цел осиг</w:t>
      </w:r>
      <w:r w:rsidRPr="00E17BE8">
        <w:rPr>
          <w:rFonts w:ascii="Verdana" w:eastAsiaTheme="minorHAnsi" w:hAnsi="Verdana" w:cs="Times New Roman"/>
          <w:kern w:val="0"/>
          <w:sz w:val="20"/>
          <w:szCs w:val="20"/>
        </w:rPr>
        <w:t>у</w:t>
      </w:r>
      <w:r w:rsidRPr="00E17BE8">
        <w:rPr>
          <w:rFonts w:ascii="Verdana" w:eastAsiaTheme="minorHAnsi" w:hAnsi="Verdana" w:cs="Times New Roman"/>
          <w:kern w:val="0"/>
          <w:sz w:val="20"/>
          <w:szCs w:val="20"/>
        </w:rPr>
        <w:t>ряване на възможност за обявяване на прием в кратък срок,  предлагаме да бъдат промен</w:t>
      </w:r>
      <w:r w:rsidRPr="00E17BE8">
        <w:rPr>
          <w:rFonts w:ascii="Verdana" w:eastAsiaTheme="minorHAnsi" w:hAnsi="Verdana" w:cs="Times New Roman"/>
          <w:kern w:val="0"/>
          <w:sz w:val="20"/>
          <w:szCs w:val="20"/>
        </w:rPr>
        <w:t>е</w:t>
      </w:r>
      <w:r w:rsidRPr="00E17BE8">
        <w:rPr>
          <w:rFonts w:ascii="Verdana" w:eastAsiaTheme="minorHAnsi" w:hAnsi="Verdana" w:cs="Times New Roman"/>
          <w:kern w:val="0"/>
          <w:sz w:val="20"/>
          <w:szCs w:val="20"/>
        </w:rPr>
        <w:t>ни съответните текстове в ПРСР 2014-2020 г.</w:t>
      </w:r>
    </w:p>
    <w:p w:rsidR="00E17BE8" w:rsidRP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bCs/>
          <w:color w:val="000000"/>
          <w:kern w:val="0"/>
          <w:sz w:val="20"/>
          <w:szCs w:val="20"/>
        </w:rPr>
      </w:pPr>
      <w:r w:rsidRPr="00E17BE8">
        <w:rPr>
          <w:rFonts w:ascii="Verdana" w:eastAsiaTheme="minorHAnsi" w:hAnsi="Verdana" w:cs="Times New Roman"/>
          <w:kern w:val="0"/>
          <w:sz w:val="20"/>
          <w:szCs w:val="20"/>
        </w:rPr>
        <w:t>В допълнение, с</w:t>
      </w:r>
      <w:r w:rsidRPr="00E17BE8">
        <w:rPr>
          <w:rFonts w:ascii="Verdana" w:eastAsiaTheme="minorHAnsi" w:hAnsi="Verdana" w:cs="Times New Roman"/>
          <w:bCs/>
          <w:color w:val="000000"/>
          <w:kern w:val="0"/>
          <w:sz w:val="20"/>
          <w:szCs w:val="20"/>
        </w:rPr>
        <w:t>ъгласно чл. 6 от Регламент за изпълнение (ЕС) № 808/2014 на Ком</w:t>
      </w:r>
      <w:r w:rsidRPr="00E17BE8">
        <w:rPr>
          <w:rFonts w:ascii="Verdana" w:eastAsiaTheme="minorHAnsi" w:hAnsi="Verdana" w:cs="Times New Roman"/>
          <w:bCs/>
          <w:color w:val="000000"/>
          <w:kern w:val="0"/>
          <w:sz w:val="20"/>
          <w:szCs w:val="20"/>
        </w:rPr>
        <w:t>и</w:t>
      </w:r>
      <w:r w:rsidRPr="00E17BE8">
        <w:rPr>
          <w:rFonts w:ascii="Verdana" w:eastAsiaTheme="minorHAnsi" w:hAnsi="Verdana" w:cs="Times New Roman"/>
          <w:bCs/>
          <w:color w:val="000000"/>
          <w:kern w:val="0"/>
          <w:sz w:val="20"/>
          <w:szCs w:val="20"/>
        </w:rPr>
        <w:t>сията от 17 юли 2014 година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прилагането на ваучери е въпрос на избор на страната членка и не е задължителен механ</w:t>
      </w:r>
      <w:r w:rsidRPr="00E17BE8">
        <w:rPr>
          <w:rFonts w:ascii="Verdana" w:eastAsiaTheme="minorHAnsi" w:hAnsi="Verdana" w:cs="Times New Roman"/>
          <w:bCs/>
          <w:color w:val="000000"/>
          <w:kern w:val="0"/>
          <w:sz w:val="20"/>
          <w:szCs w:val="20"/>
        </w:rPr>
        <w:t>и</w:t>
      </w:r>
      <w:r w:rsidRPr="00E17BE8">
        <w:rPr>
          <w:rFonts w:ascii="Verdana" w:eastAsiaTheme="minorHAnsi" w:hAnsi="Verdana" w:cs="Times New Roman"/>
          <w:bCs/>
          <w:color w:val="000000"/>
          <w:kern w:val="0"/>
          <w:sz w:val="20"/>
          <w:szCs w:val="20"/>
        </w:rPr>
        <w:t>зъм.</w:t>
      </w:r>
    </w:p>
    <w:p w:rsidR="00E17BE8" w:rsidRP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bCs/>
          <w:color w:val="000000"/>
          <w:kern w:val="0"/>
          <w:sz w:val="20"/>
          <w:szCs w:val="20"/>
          <w:lang w:val="en-US"/>
        </w:rPr>
      </w:pPr>
    </w:p>
    <w:p w:rsidR="00E17BE8" w:rsidRPr="00E17BE8" w:rsidRDefault="00E17BE8" w:rsidP="00E17BE8">
      <w:pPr>
        <w:widowControl/>
        <w:numPr>
          <w:ilvl w:val="0"/>
          <w:numId w:val="38"/>
        </w:numPr>
        <w:suppressAutoHyphens w:val="0"/>
        <w:autoSpaceDN/>
        <w:spacing w:after="0" w:line="360" w:lineRule="auto"/>
        <w:contextualSpacing/>
        <w:jc w:val="both"/>
        <w:textAlignment w:val="auto"/>
        <w:rPr>
          <w:rFonts w:ascii="Verdana" w:eastAsiaTheme="minorHAnsi" w:hAnsi="Verdana" w:cs="Times New Roman"/>
          <w:kern w:val="0"/>
          <w:sz w:val="20"/>
          <w:szCs w:val="20"/>
        </w:rPr>
      </w:pPr>
      <w:r w:rsidRPr="00E17BE8">
        <w:rPr>
          <w:rFonts w:ascii="Verdana" w:eastAsiaTheme="minorHAnsi" w:hAnsi="Verdana" w:cs="Times New Roman"/>
          <w:b/>
          <w:kern w:val="0"/>
          <w:sz w:val="20"/>
          <w:szCs w:val="20"/>
        </w:rPr>
        <w:t>Управляващият орган предлага актуализиране на опростените разходи по отделните курсове и семинари подпомагани по подмярка 1.1. „Професи</w:t>
      </w:r>
      <w:r w:rsidRPr="00E17BE8">
        <w:rPr>
          <w:rFonts w:ascii="Verdana" w:eastAsiaTheme="minorHAnsi" w:hAnsi="Verdana" w:cs="Times New Roman"/>
          <w:b/>
          <w:kern w:val="0"/>
          <w:sz w:val="20"/>
          <w:szCs w:val="20"/>
        </w:rPr>
        <w:t>о</w:t>
      </w:r>
      <w:r w:rsidRPr="00E17BE8">
        <w:rPr>
          <w:rFonts w:ascii="Verdana" w:eastAsiaTheme="minorHAnsi" w:hAnsi="Verdana" w:cs="Times New Roman"/>
          <w:b/>
          <w:kern w:val="0"/>
          <w:sz w:val="20"/>
          <w:szCs w:val="20"/>
        </w:rPr>
        <w:t>нално обучение и придобиване на умения“.</w:t>
      </w:r>
    </w:p>
    <w:p w:rsidR="00E17BE8" w:rsidRPr="00E17BE8" w:rsidRDefault="00E17BE8" w:rsidP="00E17BE8">
      <w:pPr>
        <w:widowControl/>
        <w:suppressAutoHyphens w:val="0"/>
        <w:autoSpaceDN/>
        <w:spacing w:after="0" w:line="360" w:lineRule="auto"/>
        <w:ind w:firstLine="708"/>
        <w:contextualSpacing/>
        <w:jc w:val="both"/>
        <w:textAlignment w:val="auto"/>
        <w:rPr>
          <w:rFonts w:ascii="Verdana" w:eastAsiaTheme="minorHAnsi" w:hAnsi="Verdana" w:cs="Times New Roman"/>
          <w:kern w:val="0"/>
          <w:sz w:val="20"/>
          <w:szCs w:val="20"/>
        </w:rPr>
      </w:pPr>
    </w:p>
    <w:p w:rsidR="00E17BE8" w:rsidRPr="00E17BE8" w:rsidRDefault="00E17BE8" w:rsidP="00E17BE8">
      <w:pPr>
        <w:widowControl/>
        <w:suppressAutoHyphens w:val="0"/>
        <w:autoSpaceDN/>
        <w:spacing w:after="0" w:line="360" w:lineRule="auto"/>
        <w:ind w:firstLine="708"/>
        <w:contextualSpacing/>
        <w:jc w:val="both"/>
        <w:textAlignment w:val="auto"/>
        <w:rPr>
          <w:rFonts w:ascii="Verdana" w:eastAsiaTheme="minorHAnsi" w:hAnsi="Verdana" w:cs="Times New Roman"/>
          <w:kern w:val="0"/>
          <w:sz w:val="20"/>
          <w:szCs w:val="20"/>
        </w:rPr>
      </w:pPr>
      <w:r w:rsidRPr="00E17BE8">
        <w:rPr>
          <w:rFonts w:ascii="Verdana" w:eastAsiaTheme="minorHAnsi" w:hAnsi="Verdana" w:cs="Times New Roman"/>
          <w:kern w:val="0"/>
          <w:sz w:val="20"/>
          <w:szCs w:val="20"/>
        </w:rPr>
        <w:t>Изготвянето и актуализацията на опростените разходи е извършена от екип на Ун</w:t>
      </w:r>
      <w:r w:rsidRPr="00E17BE8">
        <w:rPr>
          <w:rFonts w:ascii="Verdana" w:eastAsiaTheme="minorHAnsi" w:hAnsi="Verdana" w:cs="Times New Roman"/>
          <w:kern w:val="0"/>
          <w:sz w:val="20"/>
          <w:szCs w:val="20"/>
        </w:rPr>
        <w:t>и</w:t>
      </w:r>
      <w:r w:rsidRPr="00E17BE8">
        <w:rPr>
          <w:rFonts w:ascii="Verdana" w:eastAsiaTheme="minorHAnsi" w:hAnsi="Verdana" w:cs="Times New Roman"/>
          <w:kern w:val="0"/>
          <w:sz w:val="20"/>
          <w:szCs w:val="20"/>
        </w:rPr>
        <w:t>верситета за национално и световно стопанство – гр. София по силата на сключен договор. Дейността по изготвяне на опростените разходи е документирана от страна на изпълнителя  в съответствие с т. 5.2.1.3 от Указанията на Европейската комисия за ОВР, като е използван подход определен съгласно чл. 67, параграф 5, буква „а“ от Регламент 1303/2013 за опред</w:t>
      </w:r>
      <w:r w:rsidRPr="00E17BE8">
        <w:rPr>
          <w:rFonts w:ascii="Verdana" w:eastAsiaTheme="minorHAnsi" w:hAnsi="Verdana" w:cs="Times New Roman"/>
          <w:kern w:val="0"/>
          <w:sz w:val="20"/>
          <w:szCs w:val="20"/>
        </w:rPr>
        <w:t>е</w:t>
      </w:r>
      <w:r w:rsidRPr="00E17BE8">
        <w:rPr>
          <w:rFonts w:ascii="Verdana" w:eastAsiaTheme="minorHAnsi" w:hAnsi="Verdana" w:cs="Times New Roman"/>
          <w:kern w:val="0"/>
          <w:sz w:val="20"/>
          <w:szCs w:val="20"/>
        </w:rPr>
        <w:t>ляне на размера на опростения вариант на разходите, отговарящи на изискванията за коре</w:t>
      </w:r>
      <w:r w:rsidRPr="00E17BE8">
        <w:rPr>
          <w:rFonts w:ascii="Verdana" w:eastAsiaTheme="minorHAnsi" w:hAnsi="Verdana" w:cs="Times New Roman"/>
          <w:kern w:val="0"/>
          <w:sz w:val="20"/>
          <w:szCs w:val="20"/>
        </w:rPr>
        <w:t>к</w:t>
      </w:r>
      <w:r w:rsidRPr="00E17BE8">
        <w:rPr>
          <w:rFonts w:ascii="Verdana" w:eastAsiaTheme="minorHAnsi" w:hAnsi="Verdana" w:cs="Times New Roman"/>
          <w:kern w:val="0"/>
          <w:sz w:val="20"/>
          <w:szCs w:val="20"/>
        </w:rPr>
        <w:t>тен, справедлив и проверим метод на изчисление.</w:t>
      </w:r>
    </w:p>
    <w:p w:rsidR="00E17BE8" w:rsidRP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p w:rsidR="00E17BE8" w:rsidRP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p w:rsidR="00E17BE8" w:rsidRP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p w:rsidR="00E17BE8" w:rsidRP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p w:rsidR="00E17BE8" w:rsidRP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sectPr w:rsidR="00E17BE8" w:rsidRPr="00E17BE8" w:rsidSect="008B5402">
          <w:headerReference w:type="even" r:id="rId11"/>
          <w:headerReference w:type="default" r:id="rId12"/>
          <w:footerReference w:type="even" r:id="rId13"/>
          <w:footerReference w:type="default" r:id="rId14"/>
          <w:headerReference w:type="first" r:id="rId15"/>
          <w:footerReference w:type="first" r:id="rId16"/>
          <w:pgSz w:w="11906" w:h="16838"/>
          <w:pgMar w:top="851" w:right="1274" w:bottom="284" w:left="709" w:header="142" w:footer="143" w:gutter="0"/>
          <w:cols w:space="708"/>
          <w:docGrid w:linePitch="360"/>
        </w:sectPr>
      </w:pPr>
    </w:p>
    <w:tbl>
      <w:tblPr>
        <w:tblW w:w="553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1951"/>
        <w:gridCol w:w="4342"/>
        <w:gridCol w:w="4343"/>
      </w:tblGrid>
      <w:tr w:rsidR="00E17BE8" w:rsidRPr="00E17BE8" w:rsidTr="00E17BE8">
        <w:tc>
          <w:tcPr>
            <w:tcW w:w="135" w:type="pct"/>
            <w:shd w:val="clear" w:color="auto" w:fill="D9D9D9"/>
          </w:tcPr>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E17BE8">
              <w:rPr>
                <w:rFonts w:ascii="Verdana" w:eastAsiaTheme="minorHAnsi" w:hAnsi="Verdana" w:cs="Times New Roman"/>
                <w:b/>
                <w:bCs/>
                <w:kern w:val="0"/>
                <w:sz w:val="16"/>
                <w:szCs w:val="16"/>
              </w:rPr>
              <w:lastRenderedPageBreak/>
              <w:t>№</w:t>
            </w:r>
          </w:p>
        </w:tc>
        <w:tc>
          <w:tcPr>
            <w:tcW w:w="901" w:type="pct"/>
            <w:shd w:val="clear" w:color="auto" w:fill="D9D9D9"/>
            <w:vAlign w:val="center"/>
          </w:tcPr>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E17BE8">
              <w:rPr>
                <w:rFonts w:ascii="Verdana" w:eastAsiaTheme="minorHAnsi" w:hAnsi="Verdana" w:cs="Times New Roman"/>
                <w:b/>
                <w:bCs/>
                <w:kern w:val="0"/>
                <w:sz w:val="16"/>
                <w:szCs w:val="16"/>
              </w:rPr>
              <w:t>Част от ПРСР в която се прави предложение за промяна</w:t>
            </w:r>
          </w:p>
        </w:tc>
        <w:tc>
          <w:tcPr>
            <w:tcW w:w="1982" w:type="pct"/>
            <w:shd w:val="clear" w:color="auto" w:fill="D9D9D9"/>
            <w:vAlign w:val="center"/>
          </w:tcPr>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E17BE8">
              <w:rPr>
                <w:rFonts w:ascii="Verdana" w:eastAsiaTheme="minorHAnsi" w:hAnsi="Verdana" w:cs="Times New Roman"/>
                <w:b/>
                <w:bCs/>
                <w:kern w:val="0"/>
                <w:sz w:val="16"/>
                <w:szCs w:val="16"/>
              </w:rPr>
              <w:t>Настоящ текст на подмярка 1.1 в ПРСР</w:t>
            </w:r>
          </w:p>
        </w:tc>
        <w:tc>
          <w:tcPr>
            <w:tcW w:w="1982" w:type="pct"/>
            <w:shd w:val="clear" w:color="auto" w:fill="D9D9D9"/>
            <w:vAlign w:val="center"/>
          </w:tcPr>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E17BE8">
              <w:rPr>
                <w:rFonts w:ascii="Verdana" w:eastAsiaTheme="minorHAnsi" w:hAnsi="Verdana" w:cs="Times New Roman"/>
                <w:b/>
                <w:bCs/>
                <w:kern w:val="0"/>
                <w:sz w:val="16"/>
                <w:szCs w:val="16"/>
              </w:rPr>
              <w:t>Предложение за нов текст в подмярка 1.1 от ПРСР</w:t>
            </w:r>
          </w:p>
        </w:tc>
      </w:tr>
      <w:tr w:rsidR="00E17BE8" w:rsidRPr="00E17BE8" w:rsidTr="00E17BE8">
        <w:trPr>
          <w:trHeight w:val="589"/>
        </w:trPr>
        <w:tc>
          <w:tcPr>
            <w:tcW w:w="135" w:type="pct"/>
            <w:tcBorders>
              <w:bottom w:val="single" w:sz="4" w:space="0" w:color="auto"/>
            </w:tcBorders>
            <w:shd w:val="clear" w:color="auto" w:fill="D9D9D9"/>
            <w:vAlign w:val="center"/>
          </w:tcPr>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imes New Roman"/>
                <w:bCs/>
                <w:kern w:val="0"/>
                <w:sz w:val="16"/>
                <w:szCs w:val="16"/>
              </w:rPr>
            </w:pPr>
          </w:p>
        </w:tc>
        <w:tc>
          <w:tcPr>
            <w:tcW w:w="901" w:type="pct"/>
            <w:tcBorders>
              <w:bottom w:val="single" w:sz="4" w:space="0" w:color="auto"/>
            </w:tcBorders>
            <w:shd w:val="clear" w:color="auto" w:fill="D9D9D9"/>
            <w:vAlign w:val="center"/>
          </w:tcPr>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heme="minorBidi"/>
                <w:b/>
                <w:kern w:val="0"/>
                <w:sz w:val="16"/>
                <w:szCs w:val="16"/>
              </w:rPr>
            </w:pPr>
            <w:r w:rsidRPr="00E17BE8">
              <w:rPr>
                <w:rFonts w:ascii="Verdana" w:eastAsiaTheme="minorHAnsi" w:hAnsi="Verdana" w:cs="Times New Roman"/>
                <w:b/>
                <w:kern w:val="0"/>
                <w:sz w:val="16"/>
                <w:szCs w:val="16"/>
              </w:rPr>
              <w:t>Мярка 1 „Тран</w:t>
            </w:r>
            <w:r w:rsidRPr="00E17BE8">
              <w:rPr>
                <w:rFonts w:ascii="Verdana" w:eastAsiaTheme="minorHAnsi" w:hAnsi="Verdana" w:cs="Times New Roman"/>
                <w:b/>
                <w:kern w:val="0"/>
                <w:sz w:val="16"/>
                <w:szCs w:val="16"/>
              </w:rPr>
              <w:t>с</w:t>
            </w:r>
            <w:r w:rsidRPr="00E17BE8">
              <w:rPr>
                <w:rFonts w:ascii="Verdana" w:eastAsiaTheme="minorHAnsi" w:hAnsi="Verdana" w:cs="Times New Roman"/>
                <w:b/>
                <w:kern w:val="0"/>
                <w:sz w:val="16"/>
                <w:szCs w:val="16"/>
              </w:rPr>
              <w:t>фер на знания и действия за осв</w:t>
            </w:r>
            <w:r w:rsidRPr="00E17BE8">
              <w:rPr>
                <w:rFonts w:ascii="Verdana" w:eastAsiaTheme="minorHAnsi" w:hAnsi="Verdana" w:cs="Times New Roman"/>
                <w:b/>
                <w:kern w:val="0"/>
                <w:sz w:val="16"/>
                <w:szCs w:val="16"/>
              </w:rPr>
              <w:t>е</w:t>
            </w:r>
            <w:r w:rsidRPr="00E17BE8">
              <w:rPr>
                <w:rFonts w:ascii="Verdana" w:eastAsiaTheme="minorHAnsi" w:hAnsi="Verdana" w:cs="Times New Roman"/>
                <w:b/>
                <w:kern w:val="0"/>
                <w:sz w:val="16"/>
                <w:szCs w:val="16"/>
              </w:rPr>
              <w:t>домяване“,</w:t>
            </w:r>
          </w:p>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heme="minorBidi"/>
                <w:b/>
                <w:kern w:val="0"/>
                <w:sz w:val="16"/>
                <w:szCs w:val="16"/>
              </w:rPr>
            </w:pPr>
            <w:r w:rsidRPr="00E17BE8">
              <w:rPr>
                <w:rFonts w:ascii="Verdana" w:eastAsiaTheme="minorHAnsi" w:hAnsi="Verdana" w:cs="Times New Roman"/>
                <w:b/>
                <w:kern w:val="0"/>
                <w:sz w:val="16"/>
                <w:szCs w:val="16"/>
              </w:rPr>
              <w:t>Подмярка 1.1. Професионално обучение и пр</w:t>
            </w:r>
            <w:r w:rsidRPr="00E17BE8">
              <w:rPr>
                <w:rFonts w:ascii="Verdana" w:eastAsiaTheme="minorHAnsi" w:hAnsi="Verdana" w:cs="Times New Roman"/>
                <w:b/>
                <w:kern w:val="0"/>
                <w:sz w:val="16"/>
                <w:szCs w:val="16"/>
              </w:rPr>
              <w:t>и</w:t>
            </w:r>
            <w:r w:rsidRPr="00E17BE8">
              <w:rPr>
                <w:rFonts w:ascii="Verdana" w:eastAsiaTheme="minorHAnsi" w:hAnsi="Verdana" w:cs="Times New Roman"/>
                <w:b/>
                <w:kern w:val="0"/>
                <w:sz w:val="16"/>
                <w:szCs w:val="16"/>
              </w:rPr>
              <w:t>добиване на ум</w:t>
            </w:r>
            <w:r w:rsidRPr="00E17BE8">
              <w:rPr>
                <w:rFonts w:ascii="Verdana" w:eastAsiaTheme="minorHAnsi" w:hAnsi="Verdana" w:cs="Times New Roman"/>
                <w:b/>
                <w:kern w:val="0"/>
                <w:sz w:val="16"/>
                <w:szCs w:val="16"/>
              </w:rPr>
              <w:t>е</w:t>
            </w:r>
            <w:r w:rsidRPr="00E17BE8">
              <w:rPr>
                <w:rFonts w:ascii="Verdana" w:eastAsiaTheme="minorHAnsi" w:hAnsi="Verdana" w:cs="Times New Roman"/>
                <w:b/>
                <w:kern w:val="0"/>
                <w:sz w:val="16"/>
                <w:szCs w:val="16"/>
              </w:rPr>
              <w:t>ния</w:t>
            </w:r>
          </w:p>
        </w:tc>
        <w:tc>
          <w:tcPr>
            <w:tcW w:w="1982" w:type="pct"/>
            <w:tcBorders>
              <w:bottom w:val="single" w:sz="4" w:space="0" w:color="auto"/>
            </w:tcBorders>
            <w:shd w:val="clear" w:color="auto" w:fill="D9D9D9"/>
          </w:tcPr>
          <w:p w:rsidR="00E17BE8" w:rsidRPr="00E17BE8" w:rsidRDefault="00E17BE8" w:rsidP="00E17BE8">
            <w:pPr>
              <w:widowControl/>
              <w:suppressAutoHyphens w:val="0"/>
              <w:autoSpaceDN/>
              <w:spacing w:after="0" w:line="240" w:lineRule="auto"/>
              <w:jc w:val="both"/>
              <w:textAlignment w:val="auto"/>
              <w:rPr>
                <w:rFonts w:ascii="Verdana" w:eastAsiaTheme="minorHAnsi" w:hAnsi="Verdana" w:cs="Times New Roman"/>
                <w:b/>
                <w:bCs/>
                <w:kern w:val="0"/>
                <w:sz w:val="16"/>
                <w:szCs w:val="16"/>
              </w:rPr>
            </w:pPr>
          </w:p>
        </w:tc>
        <w:tc>
          <w:tcPr>
            <w:tcW w:w="1982" w:type="pct"/>
            <w:tcBorders>
              <w:bottom w:val="single" w:sz="4" w:space="0" w:color="auto"/>
            </w:tcBorders>
            <w:shd w:val="clear" w:color="auto" w:fill="D9D9D9"/>
          </w:tcPr>
          <w:p w:rsidR="00E17BE8" w:rsidRPr="00E17BE8" w:rsidRDefault="00E17BE8" w:rsidP="00E17BE8">
            <w:pPr>
              <w:widowControl/>
              <w:suppressAutoHyphens w:val="0"/>
              <w:autoSpaceDN/>
              <w:spacing w:after="0" w:line="240" w:lineRule="auto"/>
              <w:jc w:val="both"/>
              <w:textAlignment w:val="auto"/>
              <w:rPr>
                <w:rFonts w:ascii="Verdana" w:eastAsiaTheme="minorHAnsi" w:hAnsi="Verdana" w:cs="Times New Roman"/>
                <w:b/>
                <w:bCs/>
                <w:kern w:val="0"/>
                <w:sz w:val="16"/>
                <w:szCs w:val="16"/>
              </w:rPr>
            </w:pPr>
          </w:p>
        </w:tc>
      </w:tr>
      <w:tr w:rsidR="00E17BE8" w:rsidRPr="00E17BE8" w:rsidTr="00E17BE8">
        <w:trPr>
          <w:trHeight w:val="223"/>
        </w:trPr>
        <w:tc>
          <w:tcPr>
            <w:tcW w:w="135" w:type="pct"/>
            <w:shd w:val="clear" w:color="auto" w:fill="auto"/>
            <w:vAlign w:val="center"/>
          </w:tcPr>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imes New Roman"/>
                <w:bCs/>
                <w:kern w:val="0"/>
                <w:sz w:val="16"/>
                <w:szCs w:val="16"/>
              </w:rPr>
            </w:pPr>
            <w:r w:rsidRPr="00E17BE8">
              <w:rPr>
                <w:rFonts w:ascii="Verdana" w:eastAsiaTheme="minorHAnsi" w:hAnsi="Verdana" w:cs="Times New Roman"/>
                <w:bCs/>
                <w:kern w:val="0"/>
                <w:sz w:val="16"/>
                <w:szCs w:val="16"/>
              </w:rPr>
              <w:t>1.</w:t>
            </w:r>
          </w:p>
        </w:tc>
        <w:tc>
          <w:tcPr>
            <w:tcW w:w="901" w:type="pct"/>
            <w:shd w:val="clear" w:color="auto" w:fill="auto"/>
            <w:vAlign w:val="center"/>
          </w:tcPr>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E17BE8">
              <w:rPr>
                <w:rFonts w:ascii="Verdana" w:eastAsiaTheme="minorHAnsi" w:hAnsi="Verdana" w:cs="Times New Roman"/>
                <w:b/>
                <w:bCs/>
                <w:kern w:val="0"/>
                <w:sz w:val="16"/>
                <w:szCs w:val="16"/>
              </w:rPr>
              <w:t>Вид на подкреп</w:t>
            </w:r>
            <w:r w:rsidRPr="00E17BE8">
              <w:rPr>
                <w:rFonts w:ascii="Verdana" w:eastAsiaTheme="minorHAnsi" w:hAnsi="Verdana" w:cs="Times New Roman"/>
                <w:b/>
                <w:bCs/>
                <w:kern w:val="0"/>
                <w:sz w:val="16"/>
                <w:szCs w:val="16"/>
              </w:rPr>
              <w:t>а</w:t>
            </w:r>
            <w:r w:rsidRPr="00E17BE8">
              <w:rPr>
                <w:rFonts w:ascii="Verdana" w:eastAsiaTheme="minorHAnsi" w:hAnsi="Verdana" w:cs="Times New Roman"/>
                <w:b/>
                <w:bCs/>
                <w:kern w:val="0"/>
                <w:sz w:val="16"/>
                <w:szCs w:val="16"/>
              </w:rPr>
              <w:t>та</w:t>
            </w:r>
          </w:p>
          <w:p w:rsidR="00E17BE8" w:rsidRPr="00E17BE8" w:rsidRDefault="00E17BE8" w:rsidP="00E17BE8">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E17BE8">
              <w:rPr>
                <w:rFonts w:ascii="Verdana" w:eastAsiaTheme="minorHAnsi" w:hAnsi="Verdana" w:cs="Times New Roman"/>
                <w:b/>
                <w:bCs/>
                <w:kern w:val="0"/>
                <w:sz w:val="16"/>
                <w:szCs w:val="16"/>
              </w:rPr>
              <w:t>Т. 8.2.1.3.1.2 от ПРСР</w:t>
            </w:r>
          </w:p>
        </w:tc>
        <w:tc>
          <w:tcPr>
            <w:tcW w:w="1982" w:type="pct"/>
            <w:shd w:val="clear" w:color="auto" w:fill="auto"/>
          </w:tcPr>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E17BE8">
              <w:rPr>
                <w:rFonts w:ascii="Verdana" w:eastAsia="Times New Roman" w:hAnsi="Verdana" w:cs="Times New Roman"/>
                <w:kern w:val="0"/>
                <w:sz w:val="16"/>
                <w:szCs w:val="16"/>
              </w:rPr>
              <w:t>Всички разходи се изплащат на бенефициента по подмярката. При възстановяването на разх</w:t>
            </w:r>
            <w:r w:rsidRPr="00E17BE8">
              <w:rPr>
                <w:rFonts w:ascii="Verdana" w:eastAsia="Times New Roman" w:hAnsi="Verdana" w:cs="Times New Roman"/>
                <w:kern w:val="0"/>
                <w:sz w:val="16"/>
                <w:szCs w:val="16"/>
              </w:rPr>
              <w:t>о</w:t>
            </w:r>
            <w:r w:rsidRPr="00E17BE8">
              <w:rPr>
                <w:rFonts w:ascii="Verdana" w:eastAsia="Times New Roman" w:hAnsi="Verdana" w:cs="Times New Roman"/>
                <w:kern w:val="0"/>
                <w:sz w:val="16"/>
                <w:szCs w:val="16"/>
              </w:rPr>
              <w:t>дите се прилага система на ваучери. Ваучерите ще бъдат прилагани за всяка допустима дейност по подмярка 1.1. както следва: за курс с пр</w:t>
            </w:r>
            <w:r w:rsidRPr="00E17BE8">
              <w:rPr>
                <w:rFonts w:ascii="Verdana" w:eastAsia="Times New Roman" w:hAnsi="Verdana" w:cs="Times New Roman"/>
                <w:kern w:val="0"/>
                <w:sz w:val="16"/>
                <w:szCs w:val="16"/>
              </w:rPr>
              <w:t>о</w:t>
            </w:r>
            <w:r w:rsidRPr="00E17BE8">
              <w:rPr>
                <w:rFonts w:ascii="Verdana" w:eastAsia="Times New Roman" w:hAnsi="Verdana" w:cs="Times New Roman"/>
                <w:kern w:val="0"/>
                <w:sz w:val="16"/>
                <w:szCs w:val="16"/>
              </w:rPr>
              <w:t>дължителност 30 часа, за курс с продължите</w:t>
            </w:r>
            <w:r w:rsidRPr="00E17BE8">
              <w:rPr>
                <w:rFonts w:ascii="Verdana" w:eastAsia="Times New Roman" w:hAnsi="Verdana" w:cs="Times New Roman"/>
                <w:kern w:val="0"/>
                <w:sz w:val="16"/>
                <w:szCs w:val="16"/>
              </w:rPr>
              <w:t>л</w:t>
            </w:r>
            <w:r w:rsidRPr="00E17BE8">
              <w:rPr>
                <w:rFonts w:ascii="Verdana" w:eastAsia="Times New Roman" w:hAnsi="Verdana" w:cs="Times New Roman"/>
                <w:kern w:val="0"/>
                <w:sz w:val="16"/>
                <w:szCs w:val="16"/>
              </w:rPr>
              <w:t>ност 150 часа, за специализиран курс с пр</w:t>
            </w:r>
            <w:r w:rsidRPr="00E17BE8">
              <w:rPr>
                <w:rFonts w:ascii="Verdana" w:eastAsia="Times New Roman" w:hAnsi="Verdana" w:cs="Times New Roman"/>
                <w:kern w:val="0"/>
                <w:sz w:val="16"/>
                <w:szCs w:val="16"/>
              </w:rPr>
              <w:t>о</w:t>
            </w:r>
            <w:r w:rsidRPr="00E17BE8">
              <w:rPr>
                <w:rFonts w:ascii="Verdana" w:eastAsia="Times New Roman" w:hAnsi="Verdana" w:cs="Times New Roman"/>
                <w:kern w:val="0"/>
                <w:sz w:val="16"/>
                <w:szCs w:val="16"/>
              </w:rPr>
              <w:t>дължителност 100 часа, за семинар 8 часа, за семинар 18 часа.  </w:t>
            </w:r>
          </w:p>
          <w:p w:rsidR="00E17BE8" w:rsidRPr="00E17BE8" w:rsidRDefault="00E17BE8" w:rsidP="00E17BE8">
            <w:pPr>
              <w:widowControl/>
              <w:suppressAutoHyphens w:val="0"/>
              <w:autoSpaceDN/>
              <w:spacing w:after="0" w:line="240" w:lineRule="auto"/>
              <w:jc w:val="both"/>
              <w:textAlignment w:val="auto"/>
              <w:rPr>
                <w:rFonts w:ascii="Verdana" w:eastAsiaTheme="minorHAnsi" w:hAnsi="Verdana" w:cs="Times New Roman"/>
                <w:b/>
                <w:bCs/>
                <w:kern w:val="0"/>
                <w:sz w:val="16"/>
                <w:szCs w:val="16"/>
              </w:rPr>
            </w:pPr>
          </w:p>
        </w:tc>
        <w:tc>
          <w:tcPr>
            <w:tcW w:w="1982" w:type="pct"/>
            <w:shd w:val="clear" w:color="auto" w:fill="auto"/>
          </w:tcPr>
          <w:p w:rsidR="00E17BE8" w:rsidRPr="00E17BE8" w:rsidRDefault="00E17BE8" w:rsidP="00E17BE8">
            <w:pPr>
              <w:widowControl/>
              <w:suppressAutoHyphens w:val="0"/>
              <w:autoSpaceDN/>
              <w:spacing w:after="0" w:line="240" w:lineRule="auto"/>
              <w:jc w:val="both"/>
              <w:textAlignment w:val="auto"/>
              <w:rPr>
                <w:rFonts w:ascii="Verdana" w:eastAsiaTheme="minorHAnsi" w:hAnsi="Verdana" w:cs="Times New Roman"/>
                <w:strike/>
                <w:color w:val="FF0000"/>
                <w:kern w:val="0"/>
                <w:sz w:val="16"/>
                <w:szCs w:val="16"/>
              </w:rPr>
            </w:pPr>
            <w:r w:rsidRPr="00E17BE8">
              <w:rPr>
                <w:rFonts w:ascii="Verdana" w:eastAsia="Times New Roman" w:hAnsi="Verdana" w:cs="Times New Roman"/>
                <w:kern w:val="0"/>
                <w:sz w:val="16"/>
                <w:szCs w:val="16"/>
              </w:rPr>
              <w:t>Всички разходи се изплащат на бенефициента по подмярката</w:t>
            </w:r>
            <w:r w:rsidRPr="00E17BE8">
              <w:rPr>
                <w:rFonts w:ascii="Verdana" w:eastAsia="Times New Roman" w:hAnsi="Verdana" w:cs="Times New Roman"/>
                <w:kern w:val="0"/>
                <w:sz w:val="16"/>
                <w:szCs w:val="16"/>
                <w:u w:val="single"/>
              </w:rPr>
              <w:t xml:space="preserve">. </w:t>
            </w:r>
            <w:r w:rsidRPr="00E17BE8">
              <w:rPr>
                <w:rFonts w:ascii="Verdana" w:eastAsia="Times New Roman" w:hAnsi="Verdana" w:cs="Times New Roman"/>
                <w:b/>
                <w:color w:val="FF0000"/>
                <w:kern w:val="0"/>
                <w:sz w:val="16"/>
                <w:szCs w:val="16"/>
                <w:u w:val="single"/>
              </w:rPr>
              <w:t>Безвъзмездната финансова помощ се предоставя под формата на ста</w:t>
            </w:r>
            <w:r w:rsidRPr="00E17BE8">
              <w:rPr>
                <w:rFonts w:ascii="Verdana" w:eastAsia="Times New Roman" w:hAnsi="Verdana" w:cs="Times New Roman"/>
                <w:b/>
                <w:color w:val="FF0000"/>
                <w:kern w:val="0"/>
                <w:sz w:val="16"/>
                <w:szCs w:val="16"/>
                <w:u w:val="single"/>
              </w:rPr>
              <w:t>н</w:t>
            </w:r>
            <w:r w:rsidRPr="00E17BE8">
              <w:rPr>
                <w:rFonts w:ascii="Verdana" w:eastAsia="Times New Roman" w:hAnsi="Verdana" w:cs="Times New Roman"/>
                <w:b/>
                <w:color w:val="FF0000"/>
                <w:kern w:val="0"/>
                <w:sz w:val="16"/>
                <w:szCs w:val="16"/>
                <w:u w:val="single"/>
              </w:rPr>
              <w:t>дартни разходи за всяка допустима де</w:t>
            </w:r>
            <w:r w:rsidRPr="00E17BE8">
              <w:rPr>
                <w:rFonts w:ascii="Verdana" w:eastAsia="Times New Roman" w:hAnsi="Verdana" w:cs="Times New Roman"/>
                <w:b/>
                <w:color w:val="FF0000"/>
                <w:kern w:val="0"/>
                <w:sz w:val="16"/>
                <w:szCs w:val="16"/>
                <w:u w:val="single"/>
              </w:rPr>
              <w:t>й</w:t>
            </w:r>
            <w:r w:rsidRPr="00E17BE8">
              <w:rPr>
                <w:rFonts w:ascii="Verdana" w:eastAsia="Times New Roman" w:hAnsi="Verdana" w:cs="Times New Roman"/>
                <w:b/>
                <w:color w:val="FF0000"/>
                <w:kern w:val="0"/>
                <w:sz w:val="16"/>
                <w:szCs w:val="16"/>
                <w:u w:val="single"/>
              </w:rPr>
              <w:t>ност</w:t>
            </w:r>
            <w:r w:rsidRPr="00E17BE8">
              <w:rPr>
                <w:rFonts w:ascii="Verdana" w:eastAsia="Times New Roman" w:hAnsi="Verdana" w:cs="Times New Roman"/>
                <w:b/>
                <w:strike/>
                <w:color w:val="FF0000"/>
                <w:kern w:val="0"/>
                <w:sz w:val="16"/>
                <w:szCs w:val="16"/>
              </w:rPr>
              <w:t xml:space="preserve">. </w:t>
            </w:r>
            <w:r w:rsidRPr="00E17BE8">
              <w:rPr>
                <w:rFonts w:ascii="Verdana" w:eastAsia="Times New Roman" w:hAnsi="Verdana" w:cs="Times New Roman"/>
                <w:strike/>
                <w:kern w:val="0"/>
                <w:sz w:val="16"/>
                <w:szCs w:val="16"/>
              </w:rPr>
              <w:t>При възстановяването на разходите се прилага система на ваучери. Ваучерите ще б</w:t>
            </w:r>
            <w:r w:rsidRPr="00E17BE8">
              <w:rPr>
                <w:rFonts w:ascii="Verdana" w:eastAsia="Times New Roman" w:hAnsi="Verdana" w:cs="Times New Roman"/>
                <w:strike/>
                <w:kern w:val="0"/>
                <w:sz w:val="16"/>
                <w:szCs w:val="16"/>
              </w:rPr>
              <w:t>ъ</w:t>
            </w:r>
            <w:r w:rsidRPr="00E17BE8">
              <w:rPr>
                <w:rFonts w:ascii="Verdana" w:eastAsia="Times New Roman" w:hAnsi="Verdana" w:cs="Times New Roman"/>
                <w:strike/>
                <w:kern w:val="0"/>
                <w:sz w:val="16"/>
                <w:szCs w:val="16"/>
              </w:rPr>
              <w:t xml:space="preserve">дат прилагани за всяка допустима дейност </w:t>
            </w:r>
            <w:r w:rsidRPr="00E17BE8">
              <w:rPr>
                <w:rFonts w:ascii="Verdana" w:eastAsia="Times New Roman" w:hAnsi="Verdana" w:cs="Times New Roman"/>
                <w:kern w:val="0"/>
                <w:sz w:val="16"/>
                <w:szCs w:val="16"/>
              </w:rPr>
              <w:t>по подмярка</w:t>
            </w:r>
            <w:r w:rsidRPr="00E17BE8">
              <w:rPr>
                <w:rFonts w:ascii="Verdana" w:eastAsia="Times New Roman" w:hAnsi="Verdana" w:cs="Times New Roman"/>
                <w:strike/>
                <w:kern w:val="0"/>
                <w:sz w:val="16"/>
                <w:szCs w:val="16"/>
              </w:rPr>
              <w:t xml:space="preserve"> </w:t>
            </w:r>
            <w:r w:rsidRPr="00E17BE8">
              <w:rPr>
                <w:rFonts w:ascii="Verdana" w:eastAsia="Times New Roman" w:hAnsi="Verdana" w:cs="Times New Roman"/>
                <w:kern w:val="0"/>
                <w:sz w:val="16"/>
                <w:szCs w:val="16"/>
              </w:rPr>
              <w:t>1.1. както следва: за курс с продъ</w:t>
            </w:r>
            <w:r w:rsidRPr="00E17BE8">
              <w:rPr>
                <w:rFonts w:ascii="Verdana" w:eastAsia="Times New Roman" w:hAnsi="Verdana" w:cs="Times New Roman"/>
                <w:kern w:val="0"/>
                <w:sz w:val="16"/>
                <w:szCs w:val="16"/>
              </w:rPr>
              <w:t>л</w:t>
            </w:r>
            <w:r w:rsidRPr="00E17BE8">
              <w:rPr>
                <w:rFonts w:ascii="Verdana" w:eastAsia="Times New Roman" w:hAnsi="Verdana" w:cs="Times New Roman"/>
                <w:kern w:val="0"/>
                <w:sz w:val="16"/>
                <w:szCs w:val="16"/>
              </w:rPr>
              <w:t>жителност 30 часа, за курс с продължителност 150 часа, за специализиран курс с продълж</w:t>
            </w:r>
            <w:r w:rsidRPr="00E17BE8">
              <w:rPr>
                <w:rFonts w:ascii="Verdana" w:eastAsia="Times New Roman" w:hAnsi="Verdana" w:cs="Times New Roman"/>
                <w:kern w:val="0"/>
                <w:sz w:val="16"/>
                <w:szCs w:val="16"/>
              </w:rPr>
              <w:t>и</w:t>
            </w:r>
            <w:r w:rsidRPr="00E17BE8">
              <w:rPr>
                <w:rFonts w:ascii="Verdana" w:eastAsia="Times New Roman" w:hAnsi="Verdana" w:cs="Times New Roman"/>
                <w:kern w:val="0"/>
                <w:sz w:val="16"/>
                <w:szCs w:val="16"/>
              </w:rPr>
              <w:t>телност 100 часа, за семинар 8 часа, за семинар 18 часа.</w:t>
            </w:r>
          </w:p>
        </w:tc>
      </w:tr>
      <w:tr w:rsidR="00E17BE8" w:rsidRPr="00E17BE8" w:rsidTr="00E17BE8">
        <w:trPr>
          <w:trHeight w:val="223"/>
        </w:trPr>
        <w:tc>
          <w:tcPr>
            <w:tcW w:w="135" w:type="pct"/>
            <w:shd w:val="clear" w:color="auto" w:fill="auto"/>
            <w:vAlign w:val="center"/>
          </w:tcPr>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kern w:val="0"/>
                <w:sz w:val="16"/>
                <w:szCs w:val="16"/>
                <w:lang w:val="en-GB"/>
              </w:rPr>
            </w:pPr>
            <w:r w:rsidRPr="00E17BE8">
              <w:rPr>
                <w:rFonts w:ascii="Verdana" w:eastAsia="Times New Roman" w:hAnsi="Verdana" w:cs="Times New Roman"/>
                <w:kern w:val="0"/>
                <w:sz w:val="16"/>
                <w:szCs w:val="16"/>
                <w:lang w:val="en-US"/>
              </w:rPr>
              <w:t>2</w:t>
            </w:r>
            <w:r w:rsidRPr="00E17BE8">
              <w:rPr>
                <w:rFonts w:ascii="Verdana" w:eastAsia="Times New Roman" w:hAnsi="Verdana" w:cs="Times New Roman"/>
                <w:kern w:val="0"/>
                <w:sz w:val="16"/>
                <w:szCs w:val="16"/>
                <w:lang w:val="en-GB"/>
              </w:rPr>
              <w:t>.</w:t>
            </w:r>
          </w:p>
        </w:tc>
        <w:tc>
          <w:tcPr>
            <w:tcW w:w="901" w:type="pct"/>
            <w:shd w:val="clear" w:color="auto" w:fill="auto"/>
            <w:vAlign w:val="center"/>
          </w:tcPr>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kern w:val="0"/>
                <w:sz w:val="16"/>
                <w:szCs w:val="16"/>
              </w:rPr>
            </w:pPr>
            <w:r w:rsidRPr="00E17BE8">
              <w:rPr>
                <w:rFonts w:ascii="Verdana" w:eastAsia="Times New Roman" w:hAnsi="Verdana" w:cs="Times New Roman"/>
                <w:b/>
                <w:kern w:val="0"/>
                <w:sz w:val="16"/>
                <w:szCs w:val="16"/>
              </w:rPr>
              <w:t>Методология за изчисляване на размера или пр</w:t>
            </w:r>
            <w:r w:rsidRPr="00E17BE8">
              <w:rPr>
                <w:rFonts w:ascii="Verdana" w:eastAsia="Times New Roman" w:hAnsi="Verdana" w:cs="Times New Roman"/>
                <w:b/>
                <w:kern w:val="0"/>
                <w:sz w:val="16"/>
                <w:szCs w:val="16"/>
              </w:rPr>
              <w:t>о</w:t>
            </w:r>
            <w:r w:rsidRPr="00E17BE8">
              <w:rPr>
                <w:rFonts w:ascii="Verdana" w:eastAsia="Times New Roman" w:hAnsi="Verdana" w:cs="Times New Roman"/>
                <w:b/>
                <w:kern w:val="0"/>
                <w:sz w:val="16"/>
                <w:szCs w:val="16"/>
              </w:rPr>
              <w:t>цента на подп</w:t>
            </w:r>
            <w:r w:rsidRPr="00E17BE8">
              <w:rPr>
                <w:rFonts w:ascii="Verdana" w:eastAsia="Times New Roman" w:hAnsi="Verdana" w:cs="Times New Roman"/>
                <w:b/>
                <w:kern w:val="0"/>
                <w:sz w:val="16"/>
                <w:szCs w:val="16"/>
              </w:rPr>
              <w:t>о</w:t>
            </w:r>
            <w:r w:rsidRPr="00E17BE8">
              <w:rPr>
                <w:rFonts w:ascii="Verdana" w:eastAsia="Times New Roman" w:hAnsi="Verdana" w:cs="Times New Roman"/>
                <w:b/>
                <w:kern w:val="0"/>
                <w:sz w:val="16"/>
                <w:szCs w:val="16"/>
              </w:rPr>
              <w:t>магане, когато е уместно</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kern w:val="0"/>
                <w:sz w:val="16"/>
                <w:szCs w:val="16"/>
              </w:rPr>
            </w:pP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kern w:val="0"/>
                <w:sz w:val="16"/>
                <w:szCs w:val="16"/>
                <w:lang w:val="en-GB"/>
              </w:rPr>
            </w:pPr>
            <w:r w:rsidRPr="00E17BE8">
              <w:rPr>
                <w:rFonts w:ascii="Verdana" w:eastAsia="Times New Roman" w:hAnsi="Verdana" w:cs="Times New Roman"/>
                <w:b/>
                <w:kern w:val="0"/>
                <w:sz w:val="16"/>
                <w:szCs w:val="16"/>
                <w:lang w:val="en-GB"/>
              </w:rPr>
              <w:t>Т. 8.2.1.3.1.</w:t>
            </w:r>
            <w:r w:rsidRPr="00E17BE8">
              <w:rPr>
                <w:rFonts w:ascii="Verdana" w:eastAsia="Times New Roman" w:hAnsi="Verdana" w:cs="Times New Roman"/>
                <w:b/>
                <w:kern w:val="0"/>
                <w:sz w:val="16"/>
                <w:szCs w:val="16"/>
              </w:rPr>
              <w:t>10</w:t>
            </w:r>
            <w:r w:rsidRPr="00E17BE8">
              <w:rPr>
                <w:rFonts w:ascii="Verdana" w:eastAsia="Times New Roman" w:hAnsi="Verdana" w:cs="Times New Roman"/>
                <w:b/>
                <w:kern w:val="0"/>
                <w:sz w:val="16"/>
                <w:szCs w:val="16"/>
                <w:lang w:val="en-GB"/>
              </w:rPr>
              <w:t xml:space="preserve"> от ПРСР</w:t>
            </w:r>
          </w:p>
        </w:tc>
        <w:tc>
          <w:tcPr>
            <w:tcW w:w="1982" w:type="pct"/>
            <w:shd w:val="clear" w:color="auto" w:fill="auto"/>
            <w:vAlign w:val="center"/>
          </w:tcPr>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E17BE8">
              <w:rPr>
                <w:rFonts w:ascii="Verdana" w:eastAsia="Times New Roman" w:hAnsi="Verdana" w:cs="Times New Roman"/>
                <w:kern w:val="0"/>
                <w:sz w:val="16"/>
                <w:szCs w:val="16"/>
                <w:lang w:val="en-GB"/>
              </w:rPr>
              <w:t xml:space="preserve">Заплащането на разходите за участниците ще става посредством ваучери. </w:t>
            </w:r>
            <w:r w:rsidRPr="00E17BE8">
              <w:rPr>
                <w:rFonts w:ascii="Verdana" w:eastAsia="Times New Roman" w:hAnsi="Verdana" w:cs="Times New Roman"/>
                <w:kern w:val="0"/>
                <w:sz w:val="16"/>
                <w:szCs w:val="16"/>
              </w:rPr>
              <w:t>Определянето на стойността на ваучерите за всеки вид обучение ще се базира на стандартни разходи, съгласно чл. 67, параграф 1, буква б) от Регламент (ЕС) № 1303/2013. При определянето на изчислен</w:t>
            </w:r>
            <w:r w:rsidRPr="00E17BE8">
              <w:rPr>
                <w:rFonts w:ascii="Verdana" w:eastAsia="Times New Roman" w:hAnsi="Verdana" w:cs="Times New Roman"/>
                <w:kern w:val="0"/>
                <w:sz w:val="16"/>
                <w:szCs w:val="16"/>
              </w:rPr>
              <w:t>и</w:t>
            </w:r>
            <w:r w:rsidRPr="00E17BE8">
              <w:rPr>
                <w:rFonts w:ascii="Verdana" w:eastAsia="Times New Roman" w:hAnsi="Verdana" w:cs="Times New Roman"/>
                <w:kern w:val="0"/>
                <w:sz w:val="16"/>
                <w:szCs w:val="16"/>
              </w:rPr>
              <w:t>ята за стандартните разходи ще се прилагат условията на чл. 67, параграф 5, буква а) от Регламент (ЕС) № 1303/2013.</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E17BE8">
              <w:rPr>
                <w:rFonts w:ascii="Verdana" w:eastAsia="Times New Roman" w:hAnsi="Verdana" w:cs="Times New Roman"/>
                <w:kern w:val="0"/>
                <w:sz w:val="16"/>
                <w:szCs w:val="16"/>
              </w:rPr>
              <w:t>Стандартните разходи по подмярка 1.1. са и</w:t>
            </w:r>
            <w:r w:rsidRPr="00E17BE8">
              <w:rPr>
                <w:rFonts w:ascii="Verdana" w:eastAsia="Times New Roman" w:hAnsi="Verdana" w:cs="Times New Roman"/>
                <w:kern w:val="0"/>
                <w:sz w:val="16"/>
                <w:szCs w:val="16"/>
              </w:rPr>
              <w:t>з</w:t>
            </w:r>
            <w:r w:rsidRPr="00E17BE8">
              <w:rPr>
                <w:rFonts w:ascii="Verdana" w:eastAsia="Times New Roman" w:hAnsi="Verdana" w:cs="Times New Roman"/>
                <w:kern w:val="0"/>
                <w:sz w:val="16"/>
                <w:szCs w:val="16"/>
              </w:rPr>
              <w:t>числени по методика, при която е  допуснато, че ще има пет вида курсове и информационни дейности (с продължителност 8 учебни часа, 18 учебни часа, 30 учебни часа, 100 учебни часа и 150 учебни часа - със събиране на участниците в обучението през предходния ден) и е опред</w:t>
            </w:r>
            <w:r w:rsidRPr="00E17BE8">
              <w:rPr>
                <w:rFonts w:ascii="Verdana" w:eastAsia="Times New Roman" w:hAnsi="Verdana" w:cs="Times New Roman"/>
                <w:kern w:val="0"/>
                <w:sz w:val="16"/>
                <w:szCs w:val="16"/>
              </w:rPr>
              <w:t>е</w:t>
            </w:r>
            <w:r w:rsidRPr="00E17BE8">
              <w:rPr>
                <w:rFonts w:ascii="Verdana" w:eastAsia="Times New Roman" w:hAnsi="Verdana" w:cs="Times New Roman"/>
                <w:kern w:val="0"/>
                <w:sz w:val="16"/>
                <w:szCs w:val="16"/>
              </w:rPr>
              <w:t>лен стандартен разход за един участник  в с</w:t>
            </w:r>
            <w:r w:rsidRPr="00E17BE8">
              <w:rPr>
                <w:rFonts w:ascii="Verdana" w:eastAsia="Times New Roman" w:hAnsi="Verdana" w:cs="Times New Roman"/>
                <w:kern w:val="0"/>
                <w:sz w:val="16"/>
                <w:szCs w:val="16"/>
              </w:rPr>
              <w:t>ъ</w:t>
            </w:r>
            <w:r w:rsidRPr="00E17BE8">
              <w:rPr>
                <w:rFonts w:ascii="Verdana" w:eastAsia="Times New Roman" w:hAnsi="Verdana" w:cs="Times New Roman"/>
                <w:kern w:val="0"/>
                <w:sz w:val="16"/>
                <w:szCs w:val="16"/>
              </w:rPr>
              <w:t>ответния вид обучение. В методиката са прил</w:t>
            </w:r>
            <w:r w:rsidRPr="00E17BE8">
              <w:rPr>
                <w:rFonts w:ascii="Verdana" w:eastAsia="Times New Roman" w:hAnsi="Verdana" w:cs="Times New Roman"/>
                <w:kern w:val="0"/>
                <w:sz w:val="16"/>
                <w:szCs w:val="16"/>
              </w:rPr>
              <w:t>о</w:t>
            </w:r>
            <w:r w:rsidRPr="00E17BE8">
              <w:rPr>
                <w:rFonts w:ascii="Verdana" w:eastAsia="Times New Roman" w:hAnsi="Verdana" w:cs="Times New Roman"/>
                <w:kern w:val="0"/>
                <w:sz w:val="16"/>
                <w:szCs w:val="16"/>
              </w:rPr>
              <w:t>жени следните конкретни стъпки за изчисляв</w:t>
            </w:r>
            <w:r w:rsidRPr="00E17BE8">
              <w:rPr>
                <w:rFonts w:ascii="Verdana" w:eastAsia="Times New Roman" w:hAnsi="Verdana" w:cs="Times New Roman"/>
                <w:kern w:val="0"/>
                <w:sz w:val="16"/>
                <w:szCs w:val="16"/>
              </w:rPr>
              <w:t>а</w:t>
            </w:r>
            <w:r w:rsidRPr="00E17BE8">
              <w:rPr>
                <w:rFonts w:ascii="Verdana" w:eastAsia="Times New Roman" w:hAnsi="Verdana" w:cs="Times New Roman"/>
                <w:kern w:val="0"/>
                <w:sz w:val="16"/>
                <w:szCs w:val="16"/>
              </w:rPr>
              <w:t>не на разходите: определяне по видове обуч</w:t>
            </w:r>
            <w:r w:rsidRPr="00E17BE8">
              <w:rPr>
                <w:rFonts w:ascii="Verdana" w:eastAsia="Times New Roman" w:hAnsi="Verdana" w:cs="Times New Roman"/>
                <w:kern w:val="0"/>
                <w:sz w:val="16"/>
                <w:szCs w:val="16"/>
              </w:rPr>
              <w:t>е</w:t>
            </w:r>
            <w:r w:rsidRPr="00E17BE8">
              <w:rPr>
                <w:rFonts w:ascii="Verdana" w:eastAsia="Times New Roman" w:hAnsi="Verdana" w:cs="Times New Roman"/>
                <w:kern w:val="0"/>
                <w:sz w:val="16"/>
                <w:szCs w:val="16"/>
              </w:rPr>
              <w:t>ния на средния брой обучаеми, средния брой учебни часове, средния брой нощувки и панс</w:t>
            </w:r>
            <w:r w:rsidRPr="00E17BE8">
              <w:rPr>
                <w:rFonts w:ascii="Verdana" w:eastAsia="Times New Roman" w:hAnsi="Verdana" w:cs="Times New Roman"/>
                <w:kern w:val="0"/>
                <w:sz w:val="16"/>
                <w:szCs w:val="16"/>
              </w:rPr>
              <w:t>и</w:t>
            </w:r>
            <w:r w:rsidRPr="00E17BE8">
              <w:rPr>
                <w:rFonts w:ascii="Verdana" w:eastAsia="Times New Roman" w:hAnsi="Verdana" w:cs="Times New Roman"/>
                <w:kern w:val="0"/>
                <w:sz w:val="16"/>
                <w:szCs w:val="16"/>
              </w:rPr>
              <w:t>они на един обучаем/лектор, средно разстояние очаквано за изминаване от един обуч</w:t>
            </w:r>
            <w:r w:rsidRPr="00E17BE8">
              <w:rPr>
                <w:rFonts w:ascii="Verdana" w:eastAsia="Times New Roman" w:hAnsi="Verdana" w:cs="Times New Roman"/>
                <w:kern w:val="0"/>
                <w:sz w:val="16"/>
                <w:szCs w:val="16"/>
              </w:rPr>
              <w:t>а</w:t>
            </w:r>
            <w:r w:rsidRPr="00E17BE8">
              <w:rPr>
                <w:rFonts w:ascii="Verdana" w:eastAsia="Times New Roman" w:hAnsi="Verdana" w:cs="Times New Roman"/>
                <w:kern w:val="0"/>
                <w:sz w:val="16"/>
                <w:szCs w:val="16"/>
              </w:rPr>
              <w:t>ем/лектор, средния брой на лекторите и член</w:t>
            </w:r>
            <w:r w:rsidRPr="00E17BE8">
              <w:rPr>
                <w:rFonts w:ascii="Verdana" w:eastAsia="Times New Roman" w:hAnsi="Verdana" w:cs="Times New Roman"/>
                <w:kern w:val="0"/>
                <w:sz w:val="16"/>
                <w:szCs w:val="16"/>
              </w:rPr>
              <w:t>о</w:t>
            </w:r>
            <w:r w:rsidRPr="00E17BE8">
              <w:rPr>
                <w:rFonts w:ascii="Verdana" w:eastAsia="Times New Roman" w:hAnsi="Verdana" w:cs="Times New Roman"/>
                <w:kern w:val="0"/>
                <w:sz w:val="16"/>
                <w:szCs w:val="16"/>
              </w:rPr>
              <w:t>вете на екипа за организиране на съответното обучение и средни км за транспортни услуги (организиран превоз) до базите за практика; описание на дейностите по обучението, вкл. подготвителните дейности, дейностите по пр</w:t>
            </w:r>
            <w:r w:rsidRPr="00E17BE8">
              <w:rPr>
                <w:rFonts w:ascii="Verdana" w:eastAsia="Times New Roman" w:hAnsi="Verdana" w:cs="Times New Roman"/>
                <w:kern w:val="0"/>
                <w:sz w:val="16"/>
                <w:szCs w:val="16"/>
              </w:rPr>
              <w:t>о</w:t>
            </w:r>
            <w:r w:rsidRPr="00E17BE8">
              <w:rPr>
                <w:rFonts w:ascii="Verdana" w:eastAsia="Times New Roman" w:hAnsi="Verdana" w:cs="Times New Roman"/>
                <w:kern w:val="0"/>
                <w:sz w:val="16"/>
                <w:szCs w:val="16"/>
              </w:rPr>
              <w:t>веждане на обучението и дейностите по при</w:t>
            </w:r>
            <w:r w:rsidRPr="00E17BE8">
              <w:rPr>
                <w:rFonts w:ascii="Verdana" w:eastAsia="Times New Roman" w:hAnsi="Verdana" w:cs="Times New Roman"/>
                <w:kern w:val="0"/>
                <w:sz w:val="16"/>
                <w:szCs w:val="16"/>
              </w:rPr>
              <w:t>к</w:t>
            </w:r>
            <w:r w:rsidRPr="00E17BE8">
              <w:rPr>
                <w:rFonts w:ascii="Verdana" w:eastAsia="Times New Roman" w:hAnsi="Verdana" w:cs="Times New Roman"/>
                <w:kern w:val="0"/>
                <w:sz w:val="16"/>
                <w:szCs w:val="16"/>
              </w:rPr>
              <w:t>лючване и отчитане на обучението, както и на включените разходи по дейности  - в т.ч. и на общите разходи, които не могат да бъдат разд</w:t>
            </w:r>
            <w:r w:rsidRPr="00E17BE8">
              <w:rPr>
                <w:rFonts w:ascii="Verdana" w:eastAsia="Times New Roman" w:hAnsi="Verdana" w:cs="Times New Roman"/>
                <w:kern w:val="0"/>
                <w:sz w:val="16"/>
                <w:szCs w:val="16"/>
              </w:rPr>
              <w:t>е</w:t>
            </w:r>
            <w:r w:rsidRPr="00E17BE8">
              <w:rPr>
                <w:rFonts w:ascii="Verdana" w:eastAsia="Times New Roman" w:hAnsi="Verdana" w:cs="Times New Roman"/>
                <w:kern w:val="0"/>
                <w:sz w:val="16"/>
                <w:szCs w:val="16"/>
              </w:rPr>
              <w:t>лени и определени за отделни дейности; осто</w:t>
            </w:r>
            <w:r w:rsidRPr="00E17BE8">
              <w:rPr>
                <w:rFonts w:ascii="Verdana" w:eastAsia="Times New Roman" w:hAnsi="Verdana" w:cs="Times New Roman"/>
                <w:kern w:val="0"/>
                <w:sz w:val="16"/>
                <w:szCs w:val="16"/>
              </w:rPr>
              <w:t>й</w:t>
            </w:r>
            <w:r w:rsidRPr="00E17BE8">
              <w:rPr>
                <w:rFonts w:ascii="Verdana" w:eastAsia="Times New Roman" w:hAnsi="Verdana" w:cs="Times New Roman"/>
                <w:kern w:val="0"/>
                <w:sz w:val="16"/>
                <w:szCs w:val="16"/>
              </w:rPr>
              <w:t>ностяване на посочените дейности и изчисление на стандартните разходи.</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E17BE8">
              <w:rPr>
                <w:rFonts w:ascii="Verdana" w:eastAsia="Times New Roman" w:hAnsi="Verdana" w:cs="Times New Roman"/>
                <w:kern w:val="0"/>
                <w:sz w:val="16"/>
                <w:szCs w:val="16"/>
              </w:rPr>
              <w:t>Стандартните разходи са изчислени от Управл</w:t>
            </w:r>
            <w:r w:rsidRPr="00E17BE8">
              <w:rPr>
                <w:rFonts w:ascii="Verdana" w:eastAsia="Times New Roman" w:hAnsi="Verdana" w:cs="Times New Roman"/>
                <w:kern w:val="0"/>
                <w:sz w:val="16"/>
                <w:szCs w:val="16"/>
              </w:rPr>
              <w:t>я</w:t>
            </w:r>
            <w:r w:rsidRPr="00E17BE8">
              <w:rPr>
                <w:rFonts w:ascii="Verdana" w:eastAsia="Times New Roman" w:hAnsi="Verdana" w:cs="Times New Roman"/>
                <w:kern w:val="0"/>
                <w:sz w:val="16"/>
                <w:szCs w:val="16"/>
              </w:rPr>
              <w:t>ващия орган на програмата на базата на пра</w:t>
            </w:r>
            <w:r w:rsidRPr="00E17BE8">
              <w:rPr>
                <w:rFonts w:ascii="Verdana" w:eastAsia="Times New Roman" w:hAnsi="Verdana" w:cs="Times New Roman"/>
                <w:kern w:val="0"/>
                <w:sz w:val="16"/>
                <w:szCs w:val="16"/>
              </w:rPr>
              <w:t>к</w:t>
            </w:r>
            <w:r w:rsidRPr="00E17BE8">
              <w:rPr>
                <w:rFonts w:ascii="Verdana" w:eastAsia="Times New Roman" w:hAnsi="Verdana" w:cs="Times New Roman"/>
                <w:kern w:val="0"/>
                <w:sz w:val="16"/>
                <w:szCs w:val="16"/>
              </w:rPr>
              <w:t>тическия опит и информацията от прилагането на мярка 111 „Професионално обучение, и</w:t>
            </w:r>
            <w:r w:rsidRPr="00E17BE8">
              <w:rPr>
                <w:rFonts w:ascii="Verdana" w:eastAsia="Times New Roman" w:hAnsi="Verdana" w:cs="Times New Roman"/>
                <w:kern w:val="0"/>
                <w:sz w:val="16"/>
                <w:szCs w:val="16"/>
              </w:rPr>
              <w:t>н</w:t>
            </w:r>
            <w:r w:rsidRPr="00E17BE8">
              <w:rPr>
                <w:rFonts w:ascii="Verdana" w:eastAsia="Times New Roman" w:hAnsi="Verdana" w:cs="Times New Roman"/>
                <w:kern w:val="0"/>
                <w:sz w:val="16"/>
                <w:szCs w:val="16"/>
              </w:rPr>
              <w:t>формационни дейности и разпространение на научни знания“ от ПРСР 2007-2013 г.</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E17BE8">
              <w:rPr>
                <w:rFonts w:ascii="Verdana" w:eastAsia="Times New Roman" w:hAnsi="Verdana" w:cs="Times New Roman"/>
                <w:kern w:val="0"/>
                <w:sz w:val="16"/>
                <w:szCs w:val="16"/>
              </w:rPr>
              <w:t>Адекватността и точността на изчисленията е потвърдена от Съюза на икономистите в Бълг</w:t>
            </w:r>
            <w:r w:rsidRPr="00E17BE8">
              <w:rPr>
                <w:rFonts w:ascii="Verdana" w:eastAsia="Times New Roman" w:hAnsi="Verdana" w:cs="Times New Roman"/>
                <w:kern w:val="0"/>
                <w:sz w:val="16"/>
                <w:szCs w:val="16"/>
              </w:rPr>
              <w:t>а</w:t>
            </w:r>
            <w:r w:rsidRPr="00E17BE8">
              <w:rPr>
                <w:rFonts w:ascii="Verdana" w:eastAsia="Times New Roman" w:hAnsi="Verdana" w:cs="Times New Roman"/>
                <w:kern w:val="0"/>
                <w:sz w:val="16"/>
                <w:szCs w:val="16"/>
              </w:rPr>
              <w:t xml:space="preserve">рия, който е функционално независим орган от Министерство на земеделието, храните и горите </w:t>
            </w:r>
            <w:r w:rsidRPr="00E17BE8">
              <w:rPr>
                <w:rFonts w:ascii="Verdana" w:eastAsia="Times New Roman" w:hAnsi="Verdana" w:cs="Times New Roman"/>
                <w:kern w:val="0"/>
                <w:sz w:val="16"/>
                <w:szCs w:val="16"/>
              </w:rPr>
              <w:lastRenderedPageBreak/>
              <w:t>и Държавен фонд „Земеделие“ по смисъла на чл.62, пар.2 от Регламент 1305/2013. Удостов</w:t>
            </w:r>
            <w:r w:rsidRPr="00E17BE8">
              <w:rPr>
                <w:rFonts w:ascii="Verdana" w:eastAsia="Times New Roman" w:hAnsi="Verdana" w:cs="Times New Roman"/>
                <w:kern w:val="0"/>
                <w:sz w:val="16"/>
                <w:szCs w:val="16"/>
              </w:rPr>
              <w:t>е</w:t>
            </w:r>
            <w:r w:rsidRPr="00E17BE8">
              <w:rPr>
                <w:rFonts w:ascii="Verdana" w:eastAsia="Times New Roman" w:hAnsi="Verdana" w:cs="Times New Roman"/>
                <w:kern w:val="0"/>
                <w:sz w:val="16"/>
                <w:szCs w:val="16"/>
              </w:rPr>
              <w:t>рението, потвърждаващо адекватността</w:t>
            </w:r>
            <w:r w:rsidRPr="00E17BE8">
              <w:rPr>
                <w:rFonts w:ascii="Verdana" w:eastAsia="Times New Roman" w:hAnsi="Verdana" w:cs="Times New Roman"/>
                <w:kern w:val="0"/>
                <w:sz w:val="16"/>
                <w:szCs w:val="16"/>
                <w:lang w:val="en-GB"/>
              </w:rPr>
              <w:t xml:space="preserve"> и точността на изчисленията е представено в част 18.2 на програмата.</w:t>
            </w:r>
          </w:p>
        </w:tc>
        <w:tc>
          <w:tcPr>
            <w:tcW w:w="1982" w:type="pct"/>
            <w:shd w:val="clear" w:color="auto" w:fill="auto"/>
          </w:tcPr>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kern w:val="0"/>
                <w:sz w:val="16"/>
                <w:szCs w:val="16"/>
                <w:lang w:val="en-GB"/>
              </w:rPr>
            </w:pPr>
            <w:r w:rsidRPr="00E17BE8">
              <w:rPr>
                <w:rFonts w:ascii="Verdana" w:eastAsia="Times New Roman" w:hAnsi="Verdana" w:cs="Times New Roman"/>
                <w:strike/>
                <w:kern w:val="0"/>
                <w:sz w:val="16"/>
                <w:szCs w:val="16"/>
              </w:rPr>
              <w:lastRenderedPageBreak/>
              <w:t>Заплащането на разходите за участниците ще става посредством ваучери.</w:t>
            </w:r>
            <w:r w:rsidRPr="00E17BE8">
              <w:rPr>
                <w:rFonts w:ascii="Verdana" w:eastAsia="Times New Roman" w:hAnsi="Verdana" w:cs="Times New Roman"/>
                <w:kern w:val="0"/>
                <w:sz w:val="16"/>
                <w:szCs w:val="16"/>
              </w:rPr>
              <w:t xml:space="preserve"> Определянето на стойността на </w:t>
            </w:r>
            <w:r w:rsidRPr="00E17BE8">
              <w:rPr>
                <w:rFonts w:ascii="Verdana" w:eastAsia="Times New Roman" w:hAnsi="Verdana" w:cs="Times New Roman"/>
                <w:strike/>
                <w:kern w:val="0"/>
                <w:sz w:val="16"/>
                <w:szCs w:val="16"/>
              </w:rPr>
              <w:t>ваучерите за</w:t>
            </w:r>
            <w:r w:rsidRPr="00E17BE8">
              <w:rPr>
                <w:rFonts w:ascii="Verdana" w:eastAsia="Times New Roman" w:hAnsi="Verdana" w:cs="Times New Roman"/>
                <w:kern w:val="0"/>
                <w:sz w:val="16"/>
                <w:szCs w:val="16"/>
              </w:rPr>
              <w:t xml:space="preserve"> всеки вид обучение ще се базира на стандартни разходи, съгласно чл. 67, параграф 1, буква б) от Регламент (ЕС) № 1303/2013. При определянето на изчислен</w:t>
            </w:r>
            <w:r w:rsidRPr="00E17BE8">
              <w:rPr>
                <w:rFonts w:ascii="Verdana" w:eastAsia="Times New Roman" w:hAnsi="Verdana" w:cs="Times New Roman"/>
                <w:kern w:val="0"/>
                <w:sz w:val="16"/>
                <w:szCs w:val="16"/>
              </w:rPr>
              <w:t>и</w:t>
            </w:r>
            <w:r w:rsidRPr="00E17BE8">
              <w:rPr>
                <w:rFonts w:ascii="Verdana" w:eastAsia="Times New Roman" w:hAnsi="Verdana" w:cs="Times New Roman"/>
                <w:kern w:val="0"/>
                <w:sz w:val="16"/>
                <w:szCs w:val="16"/>
              </w:rPr>
              <w:t>ята за стандартните разходи ще се прилагат условията на чл. 67, параграф 5, буква а) от Регламент (ЕС) № 1303</w:t>
            </w:r>
            <w:r w:rsidRPr="00E17BE8">
              <w:rPr>
                <w:rFonts w:ascii="Verdana" w:eastAsia="Times New Roman" w:hAnsi="Verdana" w:cs="Times New Roman"/>
                <w:kern w:val="0"/>
                <w:sz w:val="16"/>
                <w:szCs w:val="16"/>
                <w:lang w:val="en-GB"/>
              </w:rPr>
              <w:t>/2013.</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Изчисленията на стандартните разходи са извършени от екип на Университета за н</w:t>
            </w:r>
            <w:r w:rsidRPr="00E17BE8">
              <w:rPr>
                <w:rFonts w:ascii="Verdana" w:eastAsia="Times New Roman" w:hAnsi="Verdana" w:cs="Times New Roman"/>
                <w:b/>
                <w:color w:val="FF0000"/>
                <w:kern w:val="0"/>
                <w:sz w:val="16"/>
                <w:szCs w:val="16"/>
                <w:u w:val="single"/>
              </w:rPr>
              <w:t>а</w:t>
            </w:r>
            <w:r w:rsidRPr="00E17BE8">
              <w:rPr>
                <w:rFonts w:ascii="Verdana" w:eastAsia="Times New Roman" w:hAnsi="Verdana" w:cs="Times New Roman"/>
                <w:b/>
                <w:color w:val="FF0000"/>
                <w:kern w:val="0"/>
                <w:sz w:val="16"/>
                <w:szCs w:val="16"/>
                <w:u w:val="single"/>
              </w:rPr>
              <w:t>ционално и световно стопанство, гр. С</w:t>
            </w:r>
            <w:r w:rsidRPr="00E17BE8">
              <w:rPr>
                <w:rFonts w:ascii="Verdana" w:eastAsia="Times New Roman" w:hAnsi="Verdana" w:cs="Times New Roman"/>
                <w:b/>
                <w:color w:val="FF0000"/>
                <w:kern w:val="0"/>
                <w:sz w:val="16"/>
                <w:szCs w:val="16"/>
                <w:u w:val="single"/>
              </w:rPr>
              <w:t>о</w:t>
            </w:r>
            <w:r w:rsidRPr="00E17BE8">
              <w:rPr>
                <w:rFonts w:ascii="Verdana" w:eastAsia="Times New Roman" w:hAnsi="Verdana" w:cs="Times New Roman"/>
                <w:b/>
                <w:color w:val="FF0000"/>
                <w:kern w:val="0"/>
                <w:sz w:val="16"/>
                <w:szCs w:val="16"/>
                <w:u w:val="single"/>
              </w:rPr>
              <w:t>фия, който е функционално независим о</w:t>
            </w:r>
            <w:r w:rsidRPr="00E17BE8">
              <w:rPr>
                <w:rFonts w:ascii="Verdana" w:eastAsia="Times New Roman" w:hAnsi="Verdana" w:cs="Times New Roman"/>
                <w:b/>
                <w:color w:val="FF0000"/>
                <w:kern w:val="0"/>
                <w:sz w:val="16"/>
                <w:szCs w:val="16"/>
                <w:u w:val="single"/>
              </w:rPr>
              <w:t>р</w:t>
            </w:r>
            <w:r w:rsidRPr="00E17BE8">
              <w:rPr>
                <w:rFonts w:ascii="Verdana" w:eastAsia="Times New Roman" w:hAnsi="Verdana" w:cs="Times New Roman"/>
                <w:b/>
                <w:color w:val="FF0000"/>
                <w:kern w:val="0"/>
                <w:sz w:val="16"/>
                <w:szCs w:val="16"/>
                <w:u w:val="single"/>
              </w:rPr>
              <w:t>ган от Министерство на земеделието, хр</w:t>
            </w:r>
            <w:r w:rsidRPr="00E17BE8">
              <w:rPr>
                <w:rFonts w:ascii="Verdana" w:eastAsia="Times New Roman" w:hAnsi="Verdana" w:cs="Times New Roman"/>
                <w:b/>
                <w:color w:val="FF0000"/>
                <w:kern w:val="0"/>
                <w:sz w:val="16"/>
                <w:szCs w:val="16"/>
                <w:u w:val="single"/>
              </w:rPr>
              <w:t>а</w:t>
            </w:r>
            <w:r w:rsidRPr="00E17BE8">
              <w:rPr>
                <w:rFonts w:ascii="Verdana" w:eastAsia="Times New Roman" w:hAnsi="Verdana" w:cs="Times New Roman"/>
                <w:b/>
                <w:color w:val="FF0000"/>
                <w:kern w:val="0"/>
                <w:sz w:val="16"/>
                <w:szCs w:val="16"/>
                <w:u w:val="single"/>
              </w:rPr>
              <w:t>ните и горите и Държавен фонд „Земед</w:t>
            </w:r>
            <w:r w:rsidRPr="00E17BE8">
              <w:rPr>
                <w:rFonts w:ascii="Verdana" w:eastAsia="Times New Roman" w:hAnsi="Verdana" w:cs="Times New Roman"/>
                <w:b/>
                <w:color w:val="FF0000"/>
                <w:kern w:val="0"/>
                <w:sz w:val="16"/>
                <w:szCs w:val="16"/>
                <w:u w:val="single"/>
              </w:rPr>
              <w:t>е</w:t>
            </w:r>
            <w:r w:rsidRPr="00E17BE8">
              <w:rPr>
                <w:rFonts w:ascii="Verdana" w:eastAsia="Times New Roman" w:hAnsi="Verdana" w:cs="Times New Roman"/>
                <w:b/>
                <w:color w:val="FF0000"/>
                <w:kern w:val="0"/>
                <w:sz w:val="16"/>
                <w:szCs w:val="16"/>
                <w:u w:val="single"/>
              </w:rPr>
              <w:t>лие“, съгласно чл. 62, пар. 2 от Регламент 1305/2013 и който притежава подходящ</w:t>
            </w:r>
            <w:r w:rsidRPr="00E17BE8">
              <w:rPr>
                <w:rFonts w:ascii="Verdana" w:eastAsia="Times New Roman" w:hAnsi="Verdana" w:cs="Times New Roman"/>
                <w:b/>
                <w:color w:val="FF0000"/>
                <w:kern w:val="0"/>
                <w:sz w:val="16"/>
                <w:szCs w:val="16"/>
                <w:u w:val="single"/>
              </w:rPr>
              <w:t>и</w:t>
            </w:r>
            <w:r w:rsidRPr="00E17BE8">
              <w:rPr>
                <w:rFonts w:ascii="Verdana" w:eastAsia="Times New Roman" w:hAnsi="Verdana" w:cs="Times New Roman"/>
                <w:b/>
                <w:color w:val="FF0000"/>
                <w:kern w:val="0"/>
                <w:sz w:val="16"/>
                <w:szCs w:val="16"/>
                <w:u w:val="single"/>
              </w:rPr>
              <w:t>те експертни знания.</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Дейността по изготвяне на опростените разходи е документирана от страна на и</w:t>
            </w:r>
            <w:r w:rsidRPr="00E17BE8">
              <w:rPr>
                <w:rFonts w:ascii="Verdana" w:eastAsia="Times New Roman" w:hAnsi="Verdana" w:cs="Times New Roman"/>
                <w:b/>
                <w:color w:val="FF0000"/>
                <w:kern w:val="0"/>
                <w:sz w:val="16"/>
                <w:szCs w:val="16"/>
                <w:u w:val="single"/>
              </w:rPr>
              <w:t>з</w:t>
            </w:r>
            <w:r w:rsidRPr="00E17BE8">
              <w:rPr>
                <w:rFonts w:ascii="Verdana" w:eastAsia="Times New Roman" w:hAnsi="Verdana" w:cs="Times New Roman"/>
                <w:b/>
                <w:color w:val="FF0000"/>
                <w:kern w:val="0"/>
                <w:sz w:val="16"/>
                <w:szCs w:val="16"/>
                <w:u w:val="single"/>
              </w:rPr>
              <w:t>пълнителя  в съответствие с т. 5.2.1.3 от Указанията на Европейската комисия за ОВР, като е използван подход определен съгласно чл. 67, параграф 5, буква „а“ от Регламент 1303/2013 за определяне на размера на опростения вариант на разх</w:t>
            </w:r>
            <w:r w:rsidRPr="00E17BE8">
              <w:rPr>
                <w:rFonts w:ascii="Verdana" w:eastAsia="Times New Roman" w:hAnsi="Verdana" w:cs="Times New Roman"/>
                <w:b/>
                <w:color w:val="FF0000"/>
                <w:kern w:val="0"/>
                <w:sz w:val="16"/>
                <w:szCs w:val="16"/>
                <w:u w:val="single"/>
              </w:rPr>
              <w:t>о</w:t>
            </w:r>
            <w:r w:rsidRPr="00E17BE8">
              <w:rPr>
                <w:rFonts w:ascii="Verdana" w:eastAsia="Times New Roman" w:hAnsi="Verdana" w:cs="Times New Roman"/>
                <w:b/>
                <w:color w:val="FF0000"/>
                <w:kern w:val="0"/>
                <w:sz w:val="16"/>
                <w:szCs w:val="16"/>
                <w:u w:val="single"/>
              </w:rPr>
              <w:t>дите, отговарящи на изискванията за к</w:t>
            </w:r>
            <w:r w:rsidRPr="00E17BE8">
              <w:rPr>
                <w:rFonts w:ascii="Verdana" w:eastAsia="Times New Roman" w:hAnsi="Verdana" w:cs="Times New Roman"/>
                <w:b/>
                <w:color w:val="FF0000"/>
                <w:kern w:val="0"/>
                <w:sz w:val="16"/>
                <w:szCs w:val="16"/>
                <w:u w:val="single"/>
              </w:rPr>
              <w:t>о</w:t>
            </w:r>
            <w:r w:rsidRPr="00E17BE8">
              <w:rPr>
                <w:rFonts w:ascii="Verdana" w:eastAsia="Times New Roman" w:hAnsi="Verdana" w:cs="Times New Roman"/>
                <w:b/>
                <w:color w:val="FF0000"/>
                <w:kern w:val="0"/>
                <w:sz w:val="16"/>
                <w:szCs w:val="16"/>
                <w:u w:val="single"/>
              </w:rPr>
              <w:t>ректен, справедлив и проверим метод на изчисление.</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Разходите са изчислени въз основа на п</w:t>
            </w:r>
            <w:r w:rsidRPr="00E17BE8">
              <w:rPr>
                <w:rFonts w:ascii="Verdana" w:eastAsia="Times New Roman" w:hAnsi="Verdana" w:cs="Times New Roman"/>
                <w:b/>
                <w:color w:val="FF0000"/>
                <w:kern w:val="0"/>
                <w:sz w:val="16"/>
                <w:szCs w:val="16"/>
                <w:u w:val="single"/>
              </w:rPr>
              <w:t>а</w:t>
            </w:r>
            <w:r w:rsidRPr="00E17BE8">
              <w:rPr>
                <w:rFonts w:ascii="Verdana" w:eastAsia="Times New Roman" w:hAnsi="Verdana" w:cs="Times New Roman"/>
                <w:b/>
                <w:color w:val="FF0000"/>
                <w:kern w:val="0"/>
                <w:sz w:val="16"/>
                <w:szCs w:val="16"/>
                <w:u w:val="single"/>
              </w:rPr>
              <w:t xml:space="preserve">зарни проучвания на цените, които могат да бъдат проверени. </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Подходът на изчисление е пазарен, т.е. и</w:t>
            </w:r>
            <w:r w:rsidRPr="00E17BE8">
              <w:rPr>
                <w:rFonts w:ascii="Verdana" w:eastAsia="Times New Roman" w:hAnsi="Verdana" w:cs="Times New Roman"/>
                <w:b/>
                <w:color w:val="FF0000"/>
                <w:kern w:val="0"/>
                <w:sz w:val="16"/>
                <w:szCs w:val="16"/>
                <w:u w:val="single"/>
              </w:rPr>
              <w:t>з</w:t>
            </w:r>
            <w:r w:rsidRPr="00E17BE8">
              <w:rPr>
                <w:rFonts w:ascii="Verdana" w:eastAsia="Times New Roman" w:hAnsi="Verdana" w:cs="Times New Roman"/>
                <w:b/>
                <w:color w:val="FF0000"/>
                <w:kern w:val="0"/>
                <w:sz w:val="16"/>
                <w:szCs w:val="16"/>
                <w:u w:val="single"/>
              </w:rPr>
              <w:t>ползван е метод на сравнителните аналози. При този метод за оценка стойността се о</w:t>
            </w:r>
            <w:r w:rsidRPr="00E17BE8">
              <w:rPr>
                <w:rFonts w:ascii="Verdana" w:eastAsia="Times New Roman" w:hAnsi="Verdana" w:cs="Times New Roman"/>
                <w:b/>
                <w:color w:val="FF0000"/>
                <w:kern w:val="0"/>
                <w:sz w:val="16"/>
                <w:szCs w:val="16"/>
                <w:u w:val="single"/>
              </w:rPr>
              <w:t>п</w:t>
            </w:r>
            <w:r w:rsidRPr="00E17BE8">
              <w:rPr>
                <w:rFonts w:ascii="Verdana" w:eastAsia="Times New Roman" w:hAnsi="Verdana" w:cs="Times New Roman"/>
                <w:b/>
                <w:color w:val="FF0000"/>
                <w:kern w:val="0"/>
                <w:sz w:val="16"/>
                <w:szCs w:val="16"/>
                <w:u w:val="single"/>
              </w:rPr>
              <w:t>ределя чрез пряко сравнение на пазарни цени на продукти или услуги със сходни характеристики, към определен момент.</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Методиката, използвана за обработка и анализ на получената информация, както и извеждане и тестване на индикативни нива на опростени разходи, по определените видове допустими разходи е определена на база Указанията за опростените варианти за разходите  (ОВР) на Европейската ком</w:t>
            </w:r>
            <w:r w:rsidRPr="00E17BE8">
              <w:rPr>
                <w:rFonts w:ascii="Verdana" w:eastAsia="Times New Roman" w:hAnsi="Verdana" w:cs="Times New Roman"/>
                <w:b/>
                <w:color w:val="FF0000"/>
                <w:kern w:val="0"/>
                <w:sz w:val="16"/>
                <w:szCs w:val="16"/>
                <w:u w:val="single"/>
              </w:rPr>
              <w:t>и</w:t>
            </w:r>
            <w:r w:rsidRPr="00E17BE8">
              <w:rPr>
                <w:rFonts w:ascii="Verdana" w:eastAsia="Times New Roman" w:hAnsi="Verdana" w:cs="Times New Roman"/>
                <w:b/>
                <w:color w:val="FF0000"/>
                <w:kern w:val="0"/>
                <w:sz w:val="16"/>
                <w:szCs w:val="16"/>
                <w:u w:val="single"/>
              </w:rPr>
              <w:t xml:space="preserve">сия. </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 xml:space="preserve">Част от данните включени в индикативните </w:t>
            </w:r>
            <w:r w:rsidRPr="00E17BE8">
              <w:rPr>
                <w:rFonts w:ascii="Verdana" w:eastAsia="Times New Roman" w:hAnsi="Verdana" w:cs="Times New Roman"/>
                <w:b/>
                <w:color w:val="FF0000"/>
                <w:kern w:val="0"/>
                <w:sz w:val="16"/>
                <w:szCs w:val="16"/>
                <w:u w:val="single"/>
              </w:rPr>
              <w:lastRenderedPageBreak/>
              <w:t xml:space="preserve">нива на опростените разходи са на база  нормативни документи и или официална статистика. </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Използваната методика включва:</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w:t>
            </w:r>
            <w:r w:rsidRPr="00E17BE8">
              <w:rPr>
                <w:rFonts w:ascii="Verdana" w:eastAsia="Times New Roman" w:hAnsi="Verdana" w:cs="Times New Roman"/>
                <w:b/>
                <w:color w:val="FF0000"/>
                <w:kern w:val="0"/>
                <w:sz w:val="16"/>
                <w:szCs w:val="16"/>
                <w:u w:val="single"/>
              </w:rPr>
              <w:tab/>
              <w:t>описанието на метода на изчисл</w:t>
            </w:r>
            <w:r w:rsidRPr="00E17BE8">
              <w:rPr>
                <w:rFonts w:ascii="Verdana" w:eastAsia="Times New Roman" w:hAnsi="Verdana" w:cs="Times New Roman"/>
                <w:b/>
                <w:color w:val="FF0000"/>
                <w:kern w:val="0"/>
                <w:sz w:val="16"/>
                <w:szCs w:val="16"/>
                <w:u w:val="single"/>
              </w:rPr>
              <w:t>е</w:t>
            </w:r>
            <w:r w:rsidRPr="00E17BE8">
              <w:rPr>
                <w:rFonts w:ascii="Verdana" w:eastAsia="Times New Roman" w:hAnsi="Verdana" w:cs="Times New Roman"/>
                <w:b/>
                <w:color w:val="FF0000"/>
                <w:kern w:val="0"/>
                <w:sz w:val="16"/>
                <w:szCs w:val="16"/>
                <w:u w:val="single"/>
              </w:rPr>
              <w:t>ние, в това число основните етапи на и</w:t>
            </w:r>
            <w:r w:rsidRPr="00E17BE8">
              <w:rPr>
                <w:rFonts w:ascii="Verdana" w:eastAsia="Times New Roman" w:hAnsi="Verdana" w:cs="Times New Roman"/>
                <w:b/>
                <w:color w:val="FF0000"/>
                <w:kern w:val="0"/>
                <w:sz w:val="16"/>
                <w:szCs w:val="16"/>
                <w:u w:val="single"/>
              </w:rPr>
              <w:t>з</w:t>
            </w:r>
            <w:r w:rsidRPr="00E17BE8">
              <w:rPr>
                <w:rFonts w:ascii="Verdana" w:eastAsia="Times New Roman" w:hAnsi="Verdana" w:cs="Times New Roman"/>
                <w:b/>
                <w:color w:val="FF0000"/>
                <w:kern w:val="0"/>
                <w:sz w:val="16"/>
                <w:szCs w:val="16"/>
                <w:u w:val="single"/>
              </w:rPr>
              <w:t>числението;</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w:t>
            </w:r>
            <w:r w:rsidRPr="00E17BE8">
              <w:rPr>
                <w:rFonts w:ascii="Verdana" w:eastAsia="Times New Roman" w:hAnsi="Verdana" w:cs="Times New Roman"/>
                <w:b/>
                <w:color w:val="FF0000"/>
                <w:kern w:val="0"/>
                <w:sz w:val="16"/>
                <w:szCs w:val="16"/>
                <w:u w:val="single"/>
              </w:rPr>
              <w:tab/>
              <w:t>източниците на данните, които са използвани за анализа и изчислението, включително оценка на значението на данните по отношение на предвидените операции и оценка на качеството им;</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w:t>
            </w:r>
            <w:r w:rsidRPr="00E17BE8">
              <w:rPr>
                <w:rFonts w:ascii="Verdana" w:eastAsia="Times New Roman" w:hAnsi="Verdana" w:cs="Times New Roman"/>
                <w:b/>
                <w:color w:val="FF0000"/>
                <w:kern w:val="0"/>
                <w:sz w:val="16"/>
                <w:szCs w:val="16"/>
                <w:u w:val="single"/>
              </w:rPr>
              <w:tab/>
              <w:t>самото изчисление за определяне на съответната стойност на единната ста</w:t>
            </w:r>
            <w:r w:rsidRPr="00E17BE8">
              <w:rPr>
                <w:rFonts w:ascii="Verdana" w:eastAsia="Times New Roman" w:hAnsi="Verdana" w:cs="Times New Roman"/>
                <w:b/>
                <w:color w:val="FF0000"/>
                <w:kern w:val="0"/>
                <w:sz w:val="16"/>
                <w:szCs w:val="16"/>
                <w:u w:val="single"/>
              </w:rPr>
              <w:t>в</w:t>
            </w:r>
            <w:r w:rsidRPr="00E17BE8">
              <w:rPr>
                <w:rFonts w:ascii="Verdana" w:eastAsia="Times New Roman" w:hAnsi="Verdana" w:cs="Times New Roman"/>
                <w:b/>
                <w:color w:val="FF0000"/>
                <w:kern w:val="0"/>
                <w:sz w:val="16"/>
                <w:szCs w:val="16"/>
                <w:u w:val="single"/>
              </w:rPr>
              <w:t>ка на размерите на сумите за финансиране на дейности за организация и управление на проекти;</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w:t>
            </w:r>
            <w:r w:rsidRPr="00E17BE8">
              <w:rPr>
                <w:rFonts w:ascii="Verdana" w:eastAsia="Times New Roman" w:hAnsi="Verdana" w:cs="Times New Roman"/>
                <w:b/>
                <w:color w:val="FF0000"/>
                <w:kern w:val="0"/>
                <w:sz w:val="16"/>
                <w:szCs w:val="16"/>
                <w:u w:val="single"/>
              </w:rPr>
              <w:tab/>
              <w:t>мотивите за избор на данни в съ</w:t>
            </w:r>
            <w:r w:rsidRPr="00E17BE8">
              <w:rPr>
                <w:rFonts w:ascii="Verdana" w:eastAsia="Times New Roman" w:hAnsi="Verdana" w:cs="Times New Roman"/>
                <w:b/>
                <w:color w:val="FF0000"/>
                <w:kern w:val="0"/>
                <w:sz w:val="16"/>
                <w:szCs w:val="16"/>
                <w:u w:val="single"/>
              </w:rPr>
              <w:t>в</w:t>
            </w:r>
            <w:r w:rsidRPr="00E17BE8">
              <w:rPr>
                <w:rFonts w:ascii="Verdana" w:eastAsia="Times New Roman" w:hAnsi="Verdana" w:cs="Times New Roman"/>
                <w:b/>
                <w:color w:val="FF0000"/>
                <w:kern w:val="0"/>
                <w:sz w:val="16"/>
                <w:szCs w:val="16"/>
                <w:u w:val="single"/>
              </w:rPr>
              <w:t>купността, на база на които ще бъде опр</w:t>
            </w:r>
            <w:r w:rsidRPr="00E17BE8">
              <w:rPr>
                <w:rFonts w:ascii="Verdana" w:eastAsia="Times New Roman" w:hAnsi="Verdana" w:cs="Times New Roman"/>
                <w:b/>
                <w:color w:val="FF0000"/>
                <w:kern w:val="0"/>
                <w:sz w:val="16"/>
                <w:szCs w:val="16"/>
                <w:u w:val="single"/>
              </w:rPr>
              <w:t>е</w:t>
            </w:r>
            <w:r w:rsidRPr="00E17BE8">
              <w:rPr>
                <w:rFonts w:ascii="Verdana" w:eastAsia="Times New Roman" w:hAnsi="Verdana" w:cs="Times New Roman"/>
                <w:b/>
                <w:color w:val="FF0000"/>
                <w:kern w:val="0"/>
                <w:sz w:val="16"/>
                <w:szCs w:val="16"/>
                <w:u w:val="single"/>
              </w:rPr>
              <w:t>делена единната ставка.</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E17BE8">
              <w:rPr>
                <w:rFonts w:ascii="Verdana" w:eastAsia="Times New Roman" w:hAnsi="Verdana" w:cs="Times New Roman"/>
                <w:b/>
                <w:color w:val="FF0000"/>
                <w:kern w:val="0"/>
                <w:sz w:val="16"/>
                <w:szCs w:val="16"/>
                <w:u w:val="single"/>
              </w:rPr>
              <w:t>-</w:t>
            </w:r>
            <w:r w:rsidRPr="00E17BE8">
              <w:rPr>
                <w:rFonts w:ascii="Verdana" w:eastAsia="Times New Roman" w:hAnsi="Verdana" w:cs="Times New Roman"/>
                <w:b/>
                <w:color w:val="FF0000"/>
                <w:kern w:val="0"/>
                <w:sz w:val="16"/>
                <w:szCs w:val="16"/>
                <w:u w:val="single"/>
              </w:rPr>
              <w:tab/>
              <w:t>декомпозиране на единичните ра</w:t>
            </w:r>
            <w:r w:rsidRPr="00E17BE8">
              <w:rPr>
                <w:rFonts w:ascii="Verdana" w:eastAsia="Times New Roman" w:hAnsi="Verdana" w:cs="Times New Roman"/>
                <w:b/>
                <w:color w:val="FF0000"/>
                <w:kern w:val="0"/>
                <w:sz w:val="16"/>
                <w:szCs w:val="16"/>
                <w:u w:val="single"/>
              </w:rPr>
              <w:t>з</w:t>
            </w:r>
            <w:r w:rsidRPr="00E17BE8">
              <w:rPr>
                <w:rFonts w:ascii="Verdana" w:eastAsia="Times New Roman" w:hAnsi="Verdana" w:cs="Times New Roman"/>
                <w:b/>
                <w:color w:val="FF0000"/>
                <w:kern w:val="0"/>
                <w:sz w:val="16"/>
                <w:szCs w:val="16"/>
                <w:u w:val="single"/>
              </w:rPr>
              <w:t>ходи по видове и изчисляване на опрост</w:t>
            </w:r>
            <w:r w:rsidRPr="00E17BE8">
              <w:rPr>
                <w:rFonts w:ascii="Verdana" w:eastAsia="Times New Roman" w:hAnsi="Verdana" w:cs="Times New Roman"/>
                <w:b/>
                <w:color w:val="FF0000"/>
                <w:kern w:val="0"/>
                <w:sz w:val="16"/>
                <w:szCs w:val="16"/>
                <w:u w:val="single"/>
              </w:rPr>
              <w:t>е</w:t>
            </w:r>
            <w:r w:rsidRPr="00E17BE8">
              <w:rPr>
                <w:rFonts w:ascii="Verdana" w:eastAsia="Times New Roman" w:hAnsi="Verdana" w:cs="Times New Roman"/>
                <w:b/>
                <w:color w:val="FF0000"/>
                <w:kern w:val="0"/>
                <w:sz w:val="16"/>
                <w:szCs w:val="16"/>
                <w:u w:val="single"/>
              </w:rPr>
              <w:t>ни разходи според заданието.</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strike/>
                <w:kern w:val="0"/>
                <w:sz w:val="16"/>
                <w:szCs w:val="16"/>
              </w:rPr>
            </w:pPr>
            <w:r w:rsidRPr="00E17BE8">
              <w:rPr>
                <w:rFonts w:ascii="Verdana" w:eastAsia="Times New Roman" w:hAnsi="Verdana" w:cs="Times New Roman"/>
                <w:strike/>
                <w:kern w:val="0"/>
                <w:sz w:val="16"/>
                <w:szCs w:val="16"/>
              </w:rPr>
              <w:t>Стандартните разходи по подмярка 1.1. са и</w:t>
            </w:r>
            <w:r w:rsidRPr="00E17BE8">
              <w:rPr>
                <w:rFonts w:ascii="Verdana" w:eastAsia="Times New Roman" w:hAnsi="Verdana" w:cs="Times New Roman"/>
                <w:strike/>
                <w:kern w:val="0"/>
                <w:sz w:val="16"/>
                <w:szCs w:val="16"/>
              </w:rPr>
              <w:t>з</w:t>
            </w:r>
            <w:r w:rsidRPr="00E17BE8">
              <w:rPr>
                <w:rFonts w:ascii="Verdana" w:eastAsia="Times New Roman" w:hAnsi="Verdana" w:cs="Times New Roman"/>
                <w:strike/>
                <w:kern w:val="0"/>
                <w:sz w:val="16"/>
                <w:szCs w:val="16"/>
              </w:rPr>
              <w:t>числени по методика, при която е  допуснато, че ще има пет вида курсове и информационни дейности (с продължителност 8 учебни часа, 18 учебни часа, 30 учебни часа, 100 учебни часа и 150 учебни часа - със събиране на участниците в обучението през предходния ден) и е опред</w:t>
            </w:r>
            <w:r w:rsidRPr="00E17BE8">
              <w:rPr>
                <w:rFonts w:ascii="Verdana" w:eastAsia="Times New Roman" w:hAnsi="Verdana" w:cs="Times New Roman"/>
                <w:strike/>
                <w:kern w:val="0"/>
                <w:sz w:val="16"/>
                <w:szCs w:val="16"/>
              </w:rPr>
              <w:t>е</w:t>
            </w:r>
            <w:r w:rsidRPr="00E17BE8">
              <w:rPr>
                <w:rFonts w:ascii="Verdana" w:eastAsia="Times New Roman" w:hAnsi="Verdana" w:cs="Times New Roman"/>
                <w:strike/>
                <w:kern w:val="0"/>
                <w:sz w:val="16"/>
                <w:szCs w:val="16"/>
              </w:rPr>
              <w:t>лен стандартен разход за един участник  в с</w:t>
            </w:r>
            <w:r w:rsidRPr="00E17BE8">
              <w:rPr>
                <w:rFonts w:ascii="Verdana" w:eastAsia="Times New Roman" w:hAnsi="Verdana" w:cs="Times New Roman"/>
                <w:strike/>
                <w:kern w:val="0"/>
                <w:sz w:val="16"/>
                <w:szCs w:val="16"/>
              </w:rPr>
              <w:t>ъ</w:t>
            </w:r>
            <w:r w:rsidRPr="00E17BE8">
              <w:rPr>
                <w:rFonts w:ascii="Verdana" w:eastAsia="Times New Roman" w:hAnsi="Verdana" w:cs="Times New Roman"/>
                <w:strike/>
                <w:kern w:val="0"/>
                <w:sz w:val="16"/>
                <w:szCs w:val="16"/>
              </w:rPr>
              <w:t>ответния вид обучение.</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strike/>
                <w:kern w:val="0"/>
                <w:sz w:val="16"/>
                <w:szCs w:val="16"/>
              </w:rPr>
            </w:pPr>
            <w:r w:rsidRPr="00E17BE8">
              <w:rPr>
                <w:rFonts w:ascii="Verdana" w:eastAsia="Times New Roman" w:hAnsi="Verdana" w:cs="Times New Roman"/>
                <w:strike/>
                <w:kern w:val="0"/>
                <w:sz w:val="16"/>
                <w:szCs w:val="16"/>
              </w:rPr>
              <w:t xml:space="preserve"> В методиката са приложени следните конкре</w:t>
            </w:r>
            <w:r w:rsidRPr="00E17BE8">
              <w:rPr>
                <w:rFonts w:ascii="Verdana" w:eastAsia="Times New Roman" w:hAnsi="Verdana" w:cs="Times New Roman"/>
                <w:strike/>
                <w:kern w:val="0"/>
                <w:sz w:val="16"/>
                <w:szCs w:val="16"/>
              </w:rPr>
              <w:t>т</w:t>
            </w:r>
            <w:r w:rsidRPr="00E17BE8">
              <w:rPr>
                <w:rFonts w:ascii="Verdana" w:eastAsia="Times New Roman" w:hAnsi="Verdana" w:cs="Times New Roman"/>
                <w:strike/>
                <w:kern w:val="0"/>
                <w:sz w:val="16"/>
                <w:szCs w:val="16"/>
              </w:rPr>
              <w:t>ни стъпки за изчисляване на разходите: опр</w:t>
            </w:r>
            <w:r w:rsidRPr="00E17BE8">
              <w:rPr>
                <w:rFonts w:ascii="Verdana" w:eastAsia="Times New Roman" w:hAnsi="Verdana" w:cs="Times New Roman"/>
                <w:strike/>
                <w:kern w:val="0"/>
                <w:sz w:val="16"/>
                <w:szCs w:val="16"/>
              </w:rPr>
              <w:t>е</w:t>
            </w:r>
            <w:r w:rsidRPr="00E17BE8">
              <w:rPr>
                <w:rFonts w:ascii="Verdana" w:eastAsia="Times New Roman" w:hAnsi="Verdana" w:cs="Times New Roman"/>
                <w:strike/>
                <w:kern w:val="0"/>
                <w:sz w:val="16"/>
                <w:szCs w:val="16"/>
              </w:rPr>
              <w:t>деляне по видове обучения на средния брой обучаеми, средния брой учебни часове, средния брой нощувки и пансиони на един обуч</w:t>
            </w:r>
            <w:r w:rsidRPr="00E17BE8">
              <w:rPr>
                <w:rFonts w:ascii="Verdana" w:eastAsia="Times New Roman" w:hAnsi="Verdana" w:cs="Times New Roman"/>
                <w:strike/>
                <w:kern w:val="0"/>
                <w:sz w:val="16"/>
                <w:szCs w:val="16"/>
              </w:rPr>
              <w:t>а</w:t>
            </w:r>
            <w:r w:rsidRPr="00E17BE8">
              <w:rPr>
                <w:rFonts w:ascii="Verdana" w:eastAsia="Times New Roman" w:hAnsi="Verdana" w:cs="Times New Roman"/>
                <w:strike/>
                <w:kern w:val="0"/>
                <w:sz w:val="16"/>
                <w:szCs w:val="16"/>
              </w:rPr>
              <w:t>ем/лектор, средно разстояние очаквано за и</w:t>
            </w:r>
            <w:r w:rsidRPr="00E17BE8">
              <w:rPr>
                <w:rFonts w:ascii="Verdana" w:eastAsia="Times New Roman" w:hAnsi="Verdana" w:cs="Times New Roman"/>
                <w:strike/>
                <w:kern w:val="0"/>
                <w:sz w:val="16"/>
                <w:szCs w:val="16"/>
              </w:rPr>
              <w:t>з</w:t>
            </w:r>
            <w:r w:rsidRPr="00E17BE8">
              <w:rPr>
                <w:rFonts w:ascii="Verdana" w:eastAsia="Times New Roman" w:hAnsi="Verdana" w:cs="Times New Roman"/>
                <w:strike/>
                <w:kern w:val="0"/>
                <w:sz w:val="16"/>
                <w:szCs w:val="16"/>
              </w:rPr>
              <w:t>минаване от един обучаем/лектор, средния брой на лекторите и членовете на екипа за организ</w:t>
            </w:r>
            <w:r w:rsidRPr="00E17BE8">
              <w:rPr>
                <w:rFonts w:ascii="Verdana" w:eastAsia="Times New Roman" w:hAnsi="Verdana" w:cs="Times New Roman"/>
                <w:strike/>
                <w:kern w:val="0"/>
                <w:sz w:val="16"/>
                <w:szCs w:val="16"/>
              </w:rPr>
              <w:t>и</w:t>
            </w:r>
            <w:r w:rsidRPr="00E17BE8">
              <w:rPr>
                <w:rFonts w:ascii="Verdana" w:eastAsia="Times New Roman" w:hAnsi="Verdana" w:cs="Times New Roman"/>
                <w:strike/>
                <w:kern w:val="0"/>
                <w:sz w:val="16"/>
                <w:szCs w:val="16"/>
              </w:rPr>
              <w:t>ране на съответното обучение и средни км за транспортни услуги (организиран превоз) до базите за практика; описание на дейностите по обучението, вкл. подготвителните дейности, дейностите по провеждане на обучението и дейностите по приключване и отчитане на об</w:t>
            </w:r>
            <w:r w:rsidRPr="00E17BE8">
              <w:rPr>
                <w:rFonts w:ascii="Verdana" w:eastAsia="Times New Roman" w:hAnsi="Verdana" w:cs="Times New Roman"/>
                <w:strike/>
                <w:kern w:val="0"/>
                <w:sz w:val="16"/>
                <w:szCs w:val="16"/>
              </w:rPr>
              <w:t>у</w:t>
            </w:r>
            <w:r w:rsidRPr="00E17BE8">
              <w:rPr>
                <w:rFonts w:ascii="Verdana" w:eastAsia="Times New Roman" w:hAnsi="Verdana" w:cs="Times New Roman"/>
                <w:strike/>
                <w:kern w:val="0"/>
                <w:sz w:val="16"/>
                <w:szCs w:val="16"/>
              </w:rPr>
              <w:t>чението, както и на включените разходи по дейности  - в т.ч. и на общите разходи, които не могат да бъдат разделени и определени за о</w:t>
            </w:r>
            <w:r w:rsidRPr="00E17BE8">
              <w:rPr>
                <w:rFonts w:ascii="Verdana" w:eastAsia="Times New Roman" w:hAnsi="Verdana" w:cs="Times New Roman"/>
                <w:strike/>
                <w:kern w:val="0"/>
                <w:sz w:val="16"/>
                <w:szCs w:val="16"/>
              </w:rPr>
              <w:t>т</w:t>
            </w:r>
            <w:r w:rsidRPr="00E17BE8">
              <w:rPr>
                <w:rFonts w:ascii="Verdana" w:eastAsia="Times New Roman" w:hAnsi="Verdana" w:cs="Times New Roman"/>
                <w:strike/>
                <w:kern w:val="0"/>
                <w:sz w:val="16"/>
                <w:szCs w:val="16"/>
              </w:rPr>
              <w:t>делни дейности; остойностяване на посочените дейности и изчисление на стандартните разх</w:t>
            </w:r>
            <w:r w:rsidRPr="00E17BE8">
              <w:rPr>
                <w:rFonts w:ascii="Verdana" w:eastAsia="Times New Roman" w:hAnsi="Verdana" w:cs="Times New Roman"/>
                <w:strike/>
                <w:kern w:val="0"/>
                <w:sz w:val="16"/>
                <w:szCs w:val="16"/>
              </w:rPr>
              <w:t>о</w:t>
            </w:r>
            <w:r w:rsidRPr="00E17BE8">
              <w:rPr>
                <w:rFonts w:ascii="Verdana" w:eastAsia="Times New Roman" w:hAnsi="Verdana" w:cs="Times New Roman"/>
                <w:strike/>
                <w:kern w:val="0"/>
                <w:sz w:val="16"/>
                <w:szCs w:val="16"/>
              </w:rPr>
              <w:t>ди.</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strike/>
                <w:kern w:val="0"/>
                <w:sz w:val="16"/>
                <w:szCs w:val="16"/>
              </w:rPr>
            </w:pPr>
            <w:r w:rsidRPr="00E17BE8">
              <w:rPr>
                <w:rFonts w:ascii="Verdana" w:eastAsia="Times New Roman" w:hAnsi="Verdana" w:cs="Times New Roman"/>
                <w:strike/>
                <w:kern w:val="0"/>
                <w:sz w:val="16"/>
                <w:szCs w:val="16"/>
              </w:rPr>
              <w:t>Стандартните разходи са изчислени от Управл</w:t>
            </w:r>
            <w:r w:rsidRPr="00E17BE8">
              <w:rPr>
                <w:rFonts w:ascii="Verdana" w:eastAsia="Times New Roman" w:hAnsi="Verdana" w:cs="Times New Roman"/>
                <w:strike/>
                <w:kern w:val="0"/>
                <w:sz w:val="16"/>
                <w:szCs w:val="16"/>
              </w:rPr>
              <w:t>я</w:t>
            </w:r>
            <w:r w:rsidRPr="00E17BE8">
              <w:rPr>
                <w:rFonts w:ascii="Verdana" w:eastAsia="Times New Roman" w:hAnsi="Verdana" w:cs="Times New Roman"/>
                <w:strike/>
                <w:kern w:val="0"/>
                <w:sz w:val="16"/>
                <w:szCs w:val="16"/>
              </w:rPr>
              <w:t>ващия орган на програмата на базата на пра</w:t>
            </w:r>
            <w:r w:rsidRPr="00E17BE8">
              <w:rPr>
                <w:rFonts w:ascii="Verdana" w:eastAsia="Times New Roman" w:hAnsi="Verdana" w:cs="Times New Roman"/>
                <w:strike/>
                <w:kern w:val="0"/>
                <w:sz w:val="16"/>
                <w:szCs w:val="16"/>
              </w:rPr>
              <w:t>к</w:t>
            </w:r>
            <w:r w:rsidRPr="00E17BE8">
              <w:rPr>
                <w:rFonts w:ascii="Verdana" w:eastAsia="Times New Roman" w:hAnsi="Verdana" w:cs="Times New Roman"/>
                <w:strike/>
                <w:kern w:val="0"/>
                <w:sz w:val="16"/>
                <w:szCs w:val="16"/>
              </w:rPr>
              <w:t>тическия опит и информацията от прилагането на мярка 111 „Професионално обучение, и</w:t>
            </w:r>
            <w:r w:rsidRPr="00E17BE8">
              <w:rPr>
                <w:rFonts w:ascii="Verdana" w:eastAsia="Times New Roman" w:hAnsi="Verdana" w:cs="Times New Roman"/>
                <w:strike/>
                <w:kern w:val="0"/>
                <w:sz w:val="16"/>
                <w:szCs w:val="16"/>
              </w:rPr>
              <w:t>н</w:t>
            </w:r>
            <w:r w:rsidRPr="00E17BE8">
              <w:rPr>
                <w:rFonts w:ascii="Verdana" w:eastAsia="Times New Roman" w:hAnsi="Verdana" w:cs="Times New Roman"/>
                <w:strike/>
                <w:kern w:val="0"/>
                <w:sz w:val="16"/>
                <w:szCs w:val="16"/>
              </w:rPr>
              <w:t>формационни дейности и разпространение на научни знания“ от ПРСР 2007-2013 г.</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strike/>
                <w:kern w:val="0"/>
                <w:sz w:val="16"/>
                <w:szCs w:val="16"/>
              </w:rPr>
            </w:pPr>
            <w:r w:rsidRPr="00E17BE8">
              <w:rPr>
                <w:rFonts w:ascii="Verdana" w:eastAsia="Times New Roman" w:hAnsi="Verdana" w:cs="Times New Roman"/>
                <w:strike/>
                <w:kern w:val="0"/>
                <w:sz w:val="16"/>
                <w:szCs w:val="16"/>
              </w:rPr>
              <w:t>Адекватността и точността на изчисленията е потвърдена от Съюза на икономистите в Бълг</w:t>
            </w:r>
            <w:r w:rsidRPr="00E17BE8">
              <w:rPr>
                <w:rFonts w:ascii="Verdana" w:eastAsia="Times New Roman" w:hAnsi="Verdana" w:cs="Times New Roman"/>
                <w:strike/>
                <w:kern w:val="0"/>
                <w:sz w:val="16"/>
                <w:szCs w:val="16"/>
              </w:rPr>
              <w:t>а</w:t>
            </w:r>
            <w:r w:rsidRPr="00E17BE8">
              <w:rPr>
                <w:rFonts w:ascii="Verdana" w:eastAsia="Times New Roman" w:hAnsi="Verdana" w:cs="Times New Roman"/>
                <w:strike/>
                <w:kern w:val="0"/>
                <w:sz w:val="16"/>
                <w:szCs w:val="16"/>
              </w:rPr>
              <w:t>рия, който е функционално независим орган от Министерство на земеделието, храните и горите и Държавен фонд „Земеделие“ по смисъла на чл.62, пар.2 от Регламент 1305/2013. Удостов</w:t>
            </w:r>
            <w:r w:rsidRPr="00E17BE8">
              <w:rPr>
                <w:rFonts w:ascii="Verdana" w:eastAsia="Times New Roman" w:hAnsi="Verdana" w:cs="Times New Roman"/>
                <w:strike/>
                <w:kern w:val="0"/>
                <w:sz w:val="16"/>
                <w:szCs w:val="16"/>
              </w:rPr>
              <w:t>е</w:t>
            </w:r>
            <w:r w:rsidRPr="00E17BE8">
              <w:rPr>
                <w:rFonts w:ascii="Verdana" w:eastAsia="Times New Roman" w:hAnsi="Verdana" w:cs="Times New Roman"/>
                <w:strike/>
                <w:kern w:val="0"/>
                <w:sz w:val="16"/>
                <w:szCs w:val="16"/>
              </w:rPr>
              <w:t>рението, потвърждаващо адекватността и то</w:t>
            </w:r>
            <w:r w:rsidRPr="00E17BE8">
              <w:rPr>
                <w:rFonts w:ascii="Verdana" w:eastAsia="Times New Roman" w:hAnsi="Verdana" w:cs="Times New Roman"/>
                <w:strike/>
                <w:kern w:val="0"/>
                <w:sz w:val="16"/>
                <w:szCs w:val="16"/>
              </w:rPr>
              <w:t>ч</w:t>
            </w:r>
            <w:r w:rsidRPr="00E17BE8">
              <w:rPr>
                <w:rFonts w:ascii="Verdana" w:eastAsia="Times New Roman" w:hAnsi="Verdana" w:cs="Times New Roman"/>
                <w:strike/>
                <w:kern w:val="0"/>
                <w:sz w:val="16"/>
                <w:szCs w:val="16"/>
              </w:rPr>
              <w:t>ността на изчисленията е представено в част 18.2 на програмата.</w:t>
            </w:r>
          </w:p>
          <w:p w:rsidR="00E17BE8" w:rsidRPr="00E17BE8" w:rsidRDefault="00E17BE8" w:rsidP="00E17BE8">
            <w:pPr>
              <w:widowControl/>
              <w:suppressAutoHyphens w:val="0"/>
              <w:autoSpaceDN/>
              <w:spacing w:after="0" w:line="240" w:lineRule="auto"/>
              <w:jc w:val="both"/>
              <w:textAlignment w:val="auto"/>
              <w:rPr>
                <w:rFonts w:ascii="Verdana" w:eastAsia="Times New Roman" w:hAnsi="Verdana" w:cs="Times New Roman"/>
                <w:color w:val="FF0000"/>
                <w:kern w:val="0"/>
                <w:sz w:val="16"/>
                <w:szCs w:val="16"/>
                <w:u w:val="single"/>
              </w:rPr>
            </w:pPr>
          </w:p>
        </w:tc>
      </w:tr>
    </w:tbl>
    <w:p w:rsidR="00E17BE8" w:rsidRPr="00E17BE8" w:rsidRDefault="00E17BE8" w:rsidP="00E17BE8">
      <w:pPr>
        <w:widowControl/>
        <w:suppressAutoHyphens w:val="0"/>
        <w:autoSpaceDN/>
        <w:spacing w:after="240" w:line="240" w:lineRule="auto"/>
        <w:jc w:val="both"/>
        <w:textAlignment w:val="auto"/>
        <w:rPr>
          <w:rFonts w:ascii="Times New Roman" w:eastAsia="Times New Roman" w:hAnsi="Times New Roman" w:cs="Times New Roman"/>
          <w:kern w:val="0"/>
          <w:sz w:val="20"/>
          <w:szCs w:val="20"/>
          <w:lang w:val="en-GB"/>
        </w:rPr>
      </w:pPr>
    </w:p>
    <w:p w:rsidR="00E17BE8" w:rsidRPr="00E17BE8" w:rsidRDefault="00E17BE8">
      <w:pPr>
        <w:pStyle w:val="Standard"/>
        <w:widowControl w:val="0"/>
        <w:jc w:val="both"/>
        <w:rPr>
          <w:b/>
        </w:rPr>
      </w:pPr>
    </w:p>
    <w:p w:rsidR="00E17BE8" w:rsidRDefault="00E17BE8">
      <w:pPr>
        <w:pStyle w:val="Standard"/>
        <w:widowControl w:val="0"/>
        <w:jc w:val="both"/>
        <w:rPr>
          <w:b/>
          <w:i/>
        </w:rPr>
      </w:pPr>
    </w:p>
    <w:p w:rsidR="00E17BE8" w:rsidRDefault="00E17BE8">
      <w:pPr>
        <w:pStyle w:val="Standard"/>
        <w:widowControl w:val="0"/>
        <w:jc w:val="both"/>
        <w:rPr>
          <w:b/>
          <w:i/>
        </w:rPr>
      </w:pPr>
    </w:p>
    <w:p w:rsidR="00E17BE8" w:rsidRDefault="00E17BE8">
      <w:pPr>
        <w:pStyle w:val="Standard"/>
        <w:widowControl w:val="0"/>
        <w:jc w:val="both"/>
        <w:rPr>
          <w:b/>
          <w:i/>
        </w:rPr>
      </w:pPr>
    </w:p>
    <w:p w:rsidR="00E17BE8" w:rsidRDefault="00E17BE8">
      <w:pPr>
        <w:pStyle w:val="Standard"/>
        <w:widowControl w:val="0"/>
        <w:jc w:val="both"/>
        <w:rPr>
          <w:b/>
          <w:i/>
        </w:rPr>
      </w:pPr>
    </w:p>
    <w:p w:rsidR="00E17BE8" w:rsidRDefault="00E17BE8">
      <w:pPr>
        <w:pStyle w:val="Standard"/>
        <w:widowControl w:val="0"/>
        <w:jc w:val="both"/>
        <w:rPr>
          <w:b/>
          <w:i/>
        </w:rPr>
      </w:pPr>
    </w:p>
    <w:p w:rsidR="00E17BE8" w:rsidRDefault="00E17BE8">
      <w:pPr>
        <w:pStyle w:val="Standard"/>
        <w:widowControl w:val="0"/>
        <w:jc w:val="both"/>
        <w:rPr>
          <w:b/>
          <w:i/>
        </w:rPr>
      </w:pPr>
    </w:p>
    <w:p w:rsidR="00E17BE8" w:rsidRDefault="00E17BE8">
      <w:pPr>
        <w:pStyle w:val="Standard"/>
        <w:widowControl w:val="0"/>
        <w:jc w:val="both"/>
        <w:rPr>
          <w:b/>
          <w:i/>
        </w:rPr>
      </w:pPr>
    </w:p>
    <w:p w:rsidR="00E17BE8" w:rsidRDefault="00051D99" w:rsidP="00051D99">
      <w:pPr>
        <w:pStyle w:val="Standard"/>
        <w:widowControl w:val="0"/>
        <w:jc w:val="right"/>
        <w:rPr>
          <w:b/>
          <w:i/>
        </w:rPr>
      </w:pPr>
      <w:r>
        <w:rPr>
          <w:b/>
          <w:i/>
        </w:rPr>
        <w:t>Приложение № 2</w:t>
      </w:r>
    </w:p>
    <w:p w:rsidR="00E17BE8" w:rsidRDefault="00E17BE8" w:rsidP="00E17BE8">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p w:rsidR="00051D99" w:rsidRPr="00051D99" w:rsidRDefault="00051D99" w:rsidP="00051D99">
      <w:pPr>
        <w:widowControl/>
        <w:suppressAutoHyphens w:val="0"/>
        <w:autoSpaceDN/>
        <w:spacing w:after="0" w:line="360" w:lineRule="auto"/>
        <w:jc w:val="center"/>
        <w:textAlignment w:val="auto"/>
        <w:rPr>
          <w:rFonts w:ascii="Verdana" w:eastAsiaTheme="minorHAnsi" w:hAnsi="Verdana" w:cs="Times New Roman"/>
          <w:b/>
          <w:kern w:val="0"/>
          <w:sz w:val="20"/>
          <w:szCs w:val="20"/>
        </w:rPr>
      </w:pPr>
      <w:r w:rsidRPr="00051D99">
        <w:rPr>
          <w:rFonts w:ascii="Verdana" w:eastAsiaTheme="minorHAnsi" w:hAnsi="Verdana" w:cs="Times New Roman"/>
          <w:b/>
          <w:kern w:val="0"/>
          <w:sz w:val="20"/>
          <w:szCs w:val="20"/>
        </w:rPr>
        <w:t xml:space="preserve">Т.3.2 и 3.3 Предложение на Управляващия орган на Програмата за развитие на селските райони 2014-2020 г. за промяна на текста на </w:t>
      </w:r>
    </w:p>
    <w:p w:rsidR="00051D99" w:rsidRPr="00051D99" w:rsidRDefault="00051D99" w:rsidP="00051D99">
      <w:pPr>
        <w:widowControl/>
        <w:suppressAutoHyphens w:val="0"/>
        <w:autoSpaceDN/>
        <w:spacing w:after="0" w:line="360" w:lineRule="auto"/>
        <w:jc w:val="center"/>
        <w:textAlignment w:val="auto"/>
        <w:rPr>
          <w:rFonts w:ascii="Verdana" w:eastAsiaTheme="minorHAnsi" w:hAnsi="Verdana" w:cs="Times New Roman"/>
          <w:b/>
          <w:kern w:val="0"/>
          <w:sz w:val="20"/>
          <w:szCs w:val="20"/>
        </w:rPr>
      </w:pPr>
      <w:r w:rsidRPr="00051D99">
        <w:rPr>
          <w:rFonts w:ascii="Verdana" w:eastAsiaTheme="minorHAnsi" w:hAnsi="Verdana" w:cs="Times New Roman"/>
          <w:b/>
          <w:kern w:val="0"/>
          <w:sz w:val="20"/>
          <w:szCs w:val="20"/>
        </w:rPr>
        <w:t>мярка M16 — Сътрудничество</w:t>
      </w:r>
    </w:p>
    <w:p w:rsidR="00051D99" w:rsidRPr="00051D99" w:rsidRDefault="00051D99" w:rsidP="00051D99">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p w:rsidR="00051D99" w:rsidRPr="00051D99" w:rsidRDefault="00051D99" w:rsidP="00051D99">
      <w:pPr>
        <w:widowControl/>
        <w:suppressAutoHyphens w:val="0"/>
        <w:autoSpaceDN/>
        <w:spacing w:line="360" w:lineRule="auto"/>
        <w:ind w:firstLine="708"/>
        <w:jc w:val="both"/>
        <w:textAlignment w:val="auto"/>
        <w:rPr>
          <w:rFonts w:ascii="Verdana" w:eastAsiaTheme="minorHAnsi" w:hAnsi="Verdana" w:cs="Times New Roman"/>
          <w:kern w:val="0"/>
          <w:sz w:val="20"/>
          <w:szCs w:val="20"/>
          <w:lang w:val="en-US"/>
        </w:rPr>
      </w:pPr>
    </w:p>
    <w:p w:rsidR="00051D99" w:rsidRPr="00051D99" w:rsidRDefault="00051D99" w:rsidP="00051D99">
      <w:pPr>
        <w:widowControl/>
        <w:suppressAutoHyphens w:val="0"/>
        <w:autoSpaceDN/>
        <w:spacing w:line="360" w:lineRule="auto"/>
        <w:contextualSpacing/>
        <w:jc w:val="both"/>
        <w:textAlignment w:val="auto"/>
        <w:rPr>
          <w:rFonts w:ascii="Verdana" w:eastAsiaTheme="minorHAnsi" w:hAnsi="Verdana" w:cs="Times New Roman"/>
          <w:b/>
          <w:kern w:val="0"/>
          <w:sz w:val="20"/>
          <w:szCs w:val="20"/>
        </w:rPr>
      </w:pPr>
      <w:r w:rsidRPr="00051D99">
        <w:rPr>
          <w:rFonts w:ascii="Verdana" w:eastAsiaTheme="minorHAnsi" w:hAnsi="Verdana" w:cs="Times New Roman"/>
          <w:b/>
          <w:kern w:val="0"/>
          <w:sz w:val="20"/>
          <w:szCs w:val="20"/>
        </w:rPr>
        <w:t>1. Управляващият орган предлага максималния размер на общите допустими ра</w:t>
      </w:r>
      <w:r w:rsidRPr="00051D99">
        <w:rPr>
          <w:rFonts w:ascii="Verdana" w:eastAsiaTheme="minorHAnsi" w:hAnsi="Verdana" w:cs="Times New Roman"/>
          <w:b/>
          <w:kern w:val="0"/>
          <w:sz w:val="20"/>
          <w:szCs w:val="20"/>
        </w:rPr>
        <w:t>з</w:t>
      </w:r>
      <w:r w:rsidRPr="00051D99">
        <w:rPr>
          <w:rFonts w:ascii="Verdana" w:eastAsiaTheme="minorHAnsi" w:hAnsi="Verdana" w:cs="Times New Roman"/>
          <w:b/>
          <w:kern w:val="0"/>
          <w:sz w:val="20"/>
          <w:szCs w:val="20"/>
        </w:rPr>
        <w:t xml:space="preserve">ходи за един проект на една оперативна група в рамките на подмярка 16.1 </w:t>
      </w:r>
      <w:r w:rsidRPr="00051D99">
        <w:rPr>
          <w:rFonts w:ascii="Verdana" w:eastAsiaTheme="minorHAnsi" w:hAnsi="Verdana" w:cs="Times New Roman"/>
          <w:b/>
          <w:kern w:val="0"/>
          <w:sz w:val="20"/>
          <w:szCs w:val="20"/>
          <w:lang w:val="en-US"/>
        </w:rPr>
        <w:t>“</w:t>
      </w:r>
      <w:r w:rsidRPr="00051D99">
        <w:rPr>
          <w:rFonts w:ascii="Verdana" w:eastAsiaTheme="minorHAnsi" w:hAnsi="Verdana" w:cs="Times New Roman"/>
          <w:b/>
          <w:kern w:val="0"/>
          <w:sz w:val="20"/>
          <w:szCs w:val="20"/>
        </w:rPr>
        <w:t>Под</w:t>
      </w:r>
      <w:r w:rsidRPr="00051D99">
        <w:rPr>
          <w:rFonts w:ascii="Verdana" w:eastAsiaTheme="minorHAnsi" w:hAnsi="Verdana" w:cs="Times New Roman"/>
          <w:b/>
          <w:kern w:val="0"/>
          <w:sz w:val="20"/>
          <w:szCs w:val="20"/>
        </w:rPr>
        <w:t>к</w:t>
      </w:r>
      <w:r w:rsidRPr="00051D99">
        <w:rPr>
          <w:rFonts w:ascii="Verdana" w:eastAsiaTheme="minorHAnsi" w:hAnsi="Verdana" w:cs="Times New Roman"/>
          <w:b/>
          <w:kern w:val="0"/>
          <w:sz w:val="20"/>
          <w:szCs w:val="20"/>
        </w:rPr>
        <w:t>репа за сформиране и функциониране на оперативни групи в рамките на ЕПИ</w:t>
      </w:r>
      <w:r w:rsidRPr="00051D99">
        <w:rPr>
          <w:rFonts w:ascii="Verdana" w:eastAsiaTheme="minorHAnsi" w:hAnsi="Verdana" w:cs="Times New Roman"/>
          <w:b/>
          <w:kern w:val="0"/>
          <w:sz w:val="20"/>
          <w:szCs w:val="20"/>
          <w:lang w:val="en-US"/>
        </w:rPr>
        <w:t>”</w:t>
      </w:r>
      <w:r w:rsidRPr="00051D99">
        <w:rPr>
          <w:rFonts w:ascii="Verdana" w:eastAsiaTheme="minorHAnsi" w:hAnsi="Verdana" w:cs="Times New Roman"/>
          <w:b/>
          <w:kern w:val="0"/>
          <w:sz w:val="20"/>
          <w:szCs w:val="20"/>
        </w:rPr>
        <w:t xml:space="preserve"> да бъде определен в размер до 450 000 евро, поради следните мотиви:</w:t>
      </w:r>
    </w:p>
    <w:p w:rsidR="00051D99" w:rsidRPr="00051D99" w:rsidRDefault="00051D99" w:rsidP="00386C69">
      <w:pPr>
        <w:widowControl/>
        <w:numPr>
          <w:ilvl w:val="0"/>
          <w:numId w:val="41"/>
        </w:numPr>
        <w:suppressAutoHyphens w:val="0"/>
        <w:autoSpaceDN/>
        <w:spacing w:after="0"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Относително висок таван на разходите спрямо други страни - членки;</w:t>
      </w:r>
    </w:p>
    <w:p w:rsidR="00051D99" w:rsidRPr="00051D99" w:rsidRDefault="00051D99" w:rsidP="00386C69">
      <w:pPr>
        <w:widowControl/>
        <w:numPr>
          <w:ilvl w:val="0"/>
          <w:numId w:val="41"/>
        </w:numPr>
        <w:suppressAutoHyphens w:val="0"/>
        <w:autoSpaceDN/>
        <w:spacing w:after="0"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Относително нисък индикатор за брой, подпомогнати оперативни групи;</w:t>
      </w:r>
    </w:p>
    <w:p w:rsidR="00051D99" w:rsidRPr="00051D99" w:rsidRDefault="00051D99" w:rsidP="00386C69">
      <w:pPr>
        <w:widowControl/>
        <w:numPr>
          <w:ilvl w:val="0"/>
          <w:numId w:val="41"/>
        </w:numPr>
        <w:suppressAutoHyphens w:val="0"/>
        <w:autoSpaceDN/>
        <w:spacing w:after="0"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Краен срок за разплащане на средствата от ЕЗФРСР (2023 г.);</w:t>
      </w:r>
    </w:p>
    <w:p w:rsidR="00051D99" w:rsidRPr="00051D99" w:rsidRDefault="00051D99" w:rsidP="00386C69">
      <w:pPr>
        <w:widowControl/>
        <w:numPr>
          <w:ilvl w:val="0"/>
          <w:numId w:val="41"/>
        </w:numPr>
        <w:suppressAutoHyphens w:val="0"/>
        <w:autoSpaceDN/>
        <w:spacing w:after="0"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Възможност за подпомагане на по-голям брой проекти, допринасящи за въвеждане на иновативни решения в практиката.</w:t>
      </w:r>
    </w:p>
    <w:p w:rsidR="00051D99" w:rsidRPr="00051D99" w:rsidRDefault="00051D99" w:rsidP="00051D99">
      <w:pPr>
        <w:widowControl/>
        <w:suppressAutoHyphens w:val="0"/>
        <w:autoSpaceDN/>
        <w:spacing w:line="360" w:lineRule="auto"/>
        <w:contextualSpacing/>
        <w:jc w:val="both"/>
        <w:textAlignment w:val="auto"/>
        <w:rPr>
          <w:rFonts w:ascii="Verdana" w:eastAsiaTheme="minorHAnsi" w:hAnsi="Verdana" w:cs="Times New Roman"/>
          <w:kern w:val="0"/>
          <w:sz w:val="20"/>
          <w:szCs w:val="20"/>
        </w:rPr>
      </w:pPr>
    </w:p>
    <w:p w:rsidR="00051D99" w:rsidRPr="00051D99" w:rsidRDefault="00051D99" w:rsidP="00051D99">
      <w:pPr>
        <w:widowControl/>
        <w:suppressAutoHyphens w:val="0"/>
        <w:autoSpaceDN/>
        <w:spacing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Съгласно данни на ЕК в общо 106 от всички програми за развитие на селските райони, прилагани в страните в ЕС, е предвидена мярка 16 „Сътрудничество“. Средният размер на публичните разходи, разпределени за мярка 16 „Сътрудничество“ за всички страни членки, избрали да прилагат мярката възлиза на 1.8 % от общия бюджет на съответната прогр</w:t>
      </w:r>
      <w:r w:rsidRPr="00051D99">
        <w:rPr>
          <w:rFonts w:ascii="Verdana" w:eastAsiaTheme="minorHAnsi" w:hAnsi="Verdana" w:cs="Times New Roman"/>
          <w:kern w:val="0"/>
          <w:sz w:val="20"/>
          <w:szCs w:val="20"/>
        </w:rPr>
        <w:t>а</w:t>
      </w:r>
      <w:r w:rsidRPr="00051D99">
        <w:rPr>
          <w:rFonts w:ascii="Verdana" w:eastAsiaTheme="minorHAnsi" w:hAnsi="Verdana" w:cs="Times New Roman"/>
          <w:kern w:val="0"/>
          <w:sz w:val="20"/>
          <w:szCs w:val="20"/>
        </w:rPr>
        <w:t xml:space="preserve">ма/програми. Общият размер на предвидените средства за мярка 16, възлизат на 2.8 млрд. евро публични разходи. </w:t>
      </w:r>
    </w:p>
    <w:p w:rsidR="00051D99" w:rsidRPr="00051D99" w:rsidRDefault="00051D99" w:rsidP="00051D99">
      <w:pPr>
        <w:widowControl/>
        <w:suppressAutoHyphens w:val="0"/>
        <w:autoSpaceDN/>
        <w:spacing w:after="0"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 xml:space="preserve">Финансовият ресурс, предвиден за финансиране на проекти, представени от оперативни групи, по подмярка 16.1 „Помощ за сформиране и функционира не оперативни групи по ЕПИ“, като част от мярка 16, възлиза на 587 млн. евро. Подмярката е включена в общо 96 програми за развитие на селските райони на 26 страни членки (с изключение на Латвия и Естония). </w:t>
      </w:r>
    </w:p>
    <w:p w:rsidR="00051D99" w:rsidRPr="00051D99" w:rsidRDefault="00051D99" w:rsidP="00051D99">
      <w:pPr>
        <w:widowControl/>
        <w:suppressAutoHyphens w:val="0"/>
        <w:autoSpaceDN/>
        <w:spacing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Данните на ЕК показват също така, че средния размер на допустимите за финансово по</w:t>
      </w:r>
      <w:r w:rsidRPr="00051D99">
        <w:rPr>
          <w:rFonts w:ascii="Verdana" w:eastAsiaTheme="minorHAnsi" w:hAnsi="Verdana" w:cs="Times New Roman"/>
          <w:kern w:val="0"/>
          <w:sz w:val="20"/>
          <w:szCs w:val="20"/>
        </w:rPr>
        <w:t>д</w:t>
      </w:r>
      <w:r w:rsidRPr="00051D99">
        <w:rPr>
          <w:rFonts w:ascii="Verdana" w:eastAsiaTheme="minorHAnsi" w:hAnsi="Verdana" w:cs="Times New Roman"/>
          <w:kern w:val="0"/>
          <w:sz w:val="20"/>
          <w:szCs w:val="20"/>
        </w:rPr>
        <w:t>помагане разходи на проект по мярка 16 „Сътрудничество“ (включваща подмерки 16.1, 16.2, 16.3 и 16.4) възлиза на 183 000 евро.</w:t>
      </w:r>
    </w:p>
    <w:p w:rsidR="00051D99" w:rsidRPr="00051D99" w:rsidRDefault="00B14633" w:rsidP="00051D99">
      <w:pPr>
        <w:widowControl/>
        <w:suppressAutoHyphens w:val="0"/>
        <w:autoSpaceDN/>
        <w:spacing w:line="360" w:lineRule="auto"/>
        <w:contextualSpacing/>
        <w:jc w:val="both"/>
        <w:textAlignment w:val="auto"/>
        <w:rPr>
          <w:rFonts w:ascii="Verdana" w:eastAsiaTheme="minorHAnsi" w:hAnsi="Verdana" w:cs="Times New Roman"/>
          <w:kern w:val="0"/>
          <w:sz w:val="20"/>
          <w:szCs w:val="20"/>
        </w:rPr>
      </w:pPr>
      <w:hyperlink r:id="rId17" w:history="1">
        <w:r w:rsidR="00051D99" w:rsidRPr="00051D99">
          <w:rPr>
            <w:rFonts w:ascii="Verdana" w:eastAsiaTheme="minorHAnsi" w:hAnsi="Verdana" w:cstheme="minorBidi"/>
            <w:i/>
            <w:color w:val="0000FF" w:themeColor="hyperlink"/>
            <w:kern w:val="0"/>
            <w:sz w:val="20"/>
            <w:u w:val="single"/>
          </w:rPr>
          <w:t>https://enrd.ec.europa.eu/sites/enrd/files/nrn4_m16-cooperation_karjalainen.pdf</w:t>
        </w:r>
      </w:hyperlink>
      <w:r w:rsidR="00051D99" w:rsidRPr="00051D99">
        <w:rPr>
          <w:rFonts w:ascii="Verdana" w:eastAsiaTheme="minorHAnsi" w:hAnsi="Verdana" w:cs="Times New Roman"/>
          <w:kern w:val="0"/>
          <w:sz w:val="20"/>
          <w:szCs w:val="20"/>
        </w:rPr>
        <w:t xml:space="preserve"> </w:t>
      </w:r>
    </w:p>
    <w:p w:rsidR="00051D99" w:rsidRPr="00051D99" w:rsidRDefault="00051D99" w:rsidP="00051D99">
      <w:pPr>
        <w:widowControl/>
        <w:suppressAutoHyphens w:val="0"/>
        <w:autoSpaceDN/>
        <w:spacing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Максималният размер на допустимите разходи по подмярка 16.1 „Подкрепа за сформиране и функциониране на оперативни групи в рамките на ЕПИ“ за един проект на една опер</w:t>
      </w:r>
      <w:r w:rsidRPr="00051D99">
        <w:rPr>
          <w:rFonts w:ascii="Verdana" w:eastAsiaTheme="minorHAnsi" w:hAnsi="Verdana" w:cs="Times New Roman"/>
          <w:kern w:val="0"/>
          <w:sz w:val="20"/>
          <w:szCs w:val="20"/>
        </w:rPr>
        <w:t>а</w:t>
      </w:r>
      <w:r w:rsidRPr="00051D99">
        <w:rPr>
          <w:rFonts w:ascii="Verdana" w:eastAsiaTheme="minorHAnsi" w:hAnsi="Verdana" w:cs="Times New Roman"/>
          <w:kern w:val="0"/>
          <w:sz w:val="20"/>
          <w:szCs w:val="20"/>
        </w:rPr>
        <w:t>тивна група, определен от отделните държави членки варира най - често в порядъка между 15 000 и 1 млн. евро.</w:t>
      </w:r>
    </w:p>
    <w:p w:rsidR="00051D99" w:rsidRPr="00051D99" w:rsidRDefault="00B14633" w:rsidP="00051D99">
      <w:pPr>
        <w:widowControl/>
        <w:suppressAutoHyphens w:val="0"/>
        <w:autoSpaceDN/>
        <w:spacing w:line="360" w:lineRule="auto"/>
        <w:contextualSpacing/>
        <w:jc w:val="both"/>
        <w:textAlignment w:val="auto"/>
        <w:rPr>
          <w:rFonts w:ascii="Verdana" w:eastAsiaTheme="minorHAnsi" w:hAnsi="Verdana" w:cs="Times New Roman"/>
          <w:i/>
          <w:kern w:val="0"/>
          <w:sz w:val="20"/>
          <w:szCs w:val="20"/>
        </w:rPr>
      </w:pPr>
      <w:hyperlink r:id="rId18" w:history="1">
        <w:r w:rsidR="00051D99" w:rsidRPr="00051D99">
          <w:rPr>
            <w:rFonts w:ascii="Verdana" w:eastAsiaTheme="minorHAnsi" w:hAnsi="Verdana" w:cstheme="minorBidi"/>
            <w:i/>
            <w:color w:val="0000FF" w:themeColor="hyperlink"/>
            <w:kern w:val="0"/>
            <w:sz w:val="20"/>
            <w:u w:val="single"/>
          </w:rPr>
          <w:t>https://enrd.ec.europa.eu/sites/enrd/files/rdp_analysis_m16-1.pdf</w:t>
        </w:r>
      </w:hyperlink>
      <w:r w:rsidR="00051D99" w:rsidRPr="00051D99">
        <w:rPr>
          <w:rFonts w:ascii="Verdana" w:eastAsiaTheme="minorHAnsi" w:hAnsi="Verdana" w:cs="Times New Roman"/>
          <w:i/>
          <w:kern w:val="0"/>
          <w:sz w:val="20"/>
          <w:szCs w:val="20"/>
        </w:rPr>
        <w:t xml:space="preserve"> </w:t>
      </w:r>
    </w:p>
    <w:p w:rsidR="00051D99" w:rsidRPr="00051D99" w:rsidRDefault="00051D99" w:rsidP="00051D99">
      <w:pPr>
        <w:widowControl/>
        <w:suppressAutoHyphens w:val="0"/>
        <w:autoSpaceDN/>
        <w:spacing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lastRenderedPageBreak/>
        <w:t xml:space="preserve">В ПРСР 2014-2020 г. за мярка 16 „Сътрудничество“ са предвидени средства в размер на общо 32 573 723 евро публични разходи, от които 29 316 351 евро осигурени от ЕЗФРСР и 3 257 372 евро национални средства, представляващи 1.1 % от бюджета на Програмата. </w:t>
      </w:r>
    </w:p>
    <w:p w:rsidR="00051D99" w:rsidRPr="00051D99" w:rsidRDefault="00051D99" w:rsidP="00051D99">
      <w:pPr>
        <w:widowControl/>
        <w:suppressAutoHyphens w:val="0"/>
        <w:autoSpaceDN/>
        <w:spacing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Съгласно разпределението на финансовите средства по мерки и фокус области, размерът на финансовите средства, които могат да бъдат използвани  по подмярка 16.1 от бюджета на мярка 16, възлизат на малко над 20 млн. евро. Общо 20 е броят на оперативни групи, които са предвидени да получат финансиране по подмярка 16.1 в рамките на ПРСР 2014-2020 г. съгласно индикаторния план на Програмата.</w:t>
      </w:r>
    </w:p>
    <w:p w:rsidR="00051D99" w:rsidRPr="00051D99" w:rsidRDefault="00051D99" w:rsidP="00051D99">
      <w:pPr>
        <w:widowControl/>
        <w:suppressAutoHyphens w:val="0"/>
        <w:autoSpaceDN/>
        <w:spacing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За сравнение, средния брой на оперативни групи, предвидени за подпомагане по подмярка 16.1 възлиза на 133 оперативни групи/страна. Страни като Хърватска и Австрия са предв</w:t>
      </w:r>
      <w:r w:rsidRPr="00051D99">
        <w:rPr>
          <w:rFonts w:ascii="Verdana" w:eastAsiaTheme="minorHAnsi" w:hAnsi="Verdana" w:cs="Times New Roman"/>
          <w:kern w:val="0"/>
          <w:sz w:val="20"/>
          <w:szCs w:val="20"/>
        </w:rPr>
        <w:t>и</w:t>
      </w:r>
      <w:r w:rsidRPr="00051D99">
        <w:rPr>
          <w:rFonts w:ascii="Verdana" w:eastAsiaTheme="minorHAnsi" w:hAnsi="Verdana" w:cs="Times New Roman"/>
          <w:kern w:val="0"/>
          <w:sz w:val="20"/>
          <w:szCs w:val="20"/>
        </w:rPr>
        <w:t xml:space="preserve">дили да подпомогнат съответно 33 и 50 оперативни групи. </w:t>
      </w:r>
    </w:p>
    <w:p w:rsidR="00051D99" w:rsidRPr="00051D99" w:rsidRDefault="00051D99" w:rsidP="00051D99">
      <w:pPr>
        <w:widowControl/>
        <w:suppressAutoHyphens w:val="0"/>
        <w:autoSpaceDN/>
        <w:spacing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В заключение, намаляването на максималния размер на допустимите разходи за един пр</w:t>
      </w:r>
      <w:r w:rsidRPr="00051D99">
        <w:rPr>
          <w:rFonts w:ascii="Verdana" w:eastAsiaTheme="minorHAnsi" w:hAnsi="Verdana" w:cs="Times New Roman"/>
          <w:kern w:val="0"/>
          <w:sz w:val="20"/>
          <w:szCs w:val="20"/>
        </w:rPr>
        <w:t>о</w:t>
      </w:r>
      <w:r w:rsidRPr="00051D99">
        <w:rPr>
          <w:rFonts w:ascii="Verdana" w:eastAsiaTheme="minorHAnsi" w:hAnsi="Verdana" w:cs="Times New Roman"/>
          <w:kern w:val="0"/>
          <w:sz w:val="20"/>
          <w:szCs w:val="20"/>
        </w:rPr>
        <w:t>ект на една оперативна група от 1 млн. евро на 450 000 евро ще предостави възможност по-голям брой оперативни групи да се възползват от подпомагане за реализация на инов</w:t>
      </w:r>
      <w:r w:rsidRPr="00051D99">
        <w:rPr>
          <w:rFonts w:ascii="Verdana" w:eastAsiaTheme="minorHAnsi" w:hAnsi="Verdana" w:cs="Times New Roman"/>
          <w:kern w:val="0"/>
          <w:sz w:val="20"/>
          <w:szCs w:val="20"/>
        </w:rPr>
        <w:t>а</w:t>
      </w:r>
      <w:r w:rsidRPr="00051D99">
        <w:rPr>
          <w:rFonts w:ascii="Verdana" w:eastAsiaTheme="minorHAnsi" w:hAnsi="Verdana" w:cs="Times New Roman"/>
          <w:kern w:val="0"/>
          <w:sz w:val="20"/>
          <w:szCs w:val="20"/>
        </w:rPr>
        <w:t>тивни проекти, резултатите от които да бъдат разпространени сред всички страни членки, чрез мрежите на ЕПИ.</w:t>
      </w:r>
    </w:p>
    <w:p w:rsidR="00051D99" w:rsidRPr="00051D99" w:rsidRDefault="00051D99" w:rsidP="00386C69">
      <w:pPr>
        <w:widowControl/>
        <w:numPr>
          <w:ilvl w:val="0"/>
          <w:numId w:val="42"/>
        </w:numPr>
        <w:suppressAutoHyphens w:val="0"/>
        <w:autoSpaceDN/>
        <w:spacing w:after="0" w:line="360" w:lineRule="auto"/>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b/>
          <w:kern w:val="0"/>
          <w:sz w:val="20"/>
          <w:szCs w:val="20"/>
        </w:rPr>
        <w:t>Управляващият орган предлага актуализиране на опростените разходи по подмярка 16.1. „Подкрепа за сформиране и функциониране на оперативни групи в рамките на ЕПИ“ и подмярка 16.4. „Подкрепа за хоризонтално и вертикално сътрудничество между участниците във веригата на доставки“.</w:t>
      </w:r>
    </w:p>
    <w:p w:rsidR="00051D99" w:rsidRPr="00051D99" w:rsidRDefault="00051D99" w:rsidP="00051D99">
      <w:pPr>
        <w:widowControl/>
        <w:suppressAutoHyphens w:val="0"/>
        <w:autoSpaceDN/>
        <w:spacing w:after="0" w:line="360" w:lineRule="auto"/>
        <w:ind w:firstLine="708"/>
        <w:contextualSpacing/>
        <w:jc w:val="both"/>
        <w:textAlignment w:val="auto"/>
        <w:rPr>
          <w:rFonts w:ascii="Verdana" w:eastAsiaTheme="minorHAnsi" w:hAnsi="Verdana" w:cs="Times New Roman"/>
          <w:kern w:val="0"/>
          <w:sz w:val="20"/>
          <w:szCs w:val="20"/>
        </w:rPr>
      </w:pPr>
      <w:r w:rsidRPr="00051D99">
        <w:rPr>
          <w:rFonts w:ascii="Verdana" w:eastAsiaTheme="minorHAnsi" w:hAnsi="Verdana" w:cs="Times New Roman"/>
          <w:kern w:val="0"/>
          <w:sz w:val="20"/>
          <w:szCs w:val="20"/>
        </w:rPr>
        <w:t>Изготвянето и актуализацията на опростените разходи е извършена от екип на Ун</w:t>
      </w:r>
      <w:r w:rsidRPr="00051D99">
        <w:rPr>
          <w:rFonts w:ascii="Verdana" w:eastAsiaTheme="minorHAnsi" w:hAnsi="Verdana" w:cs="Times New Roman"/>
          <w:kern w:val="0"/>
          <w:sz w:val="20"/>
          <w:szCs w:val="20"/>
        </w:rPr>
        <w:t>и</w:t>
      </w:r>
      <w:r w:rsidRPr="00051D99">
        <w:rPr>
          <w:rFonts w:ascii="Verdana" w:eastAsiaTheme="minorHAnsi" w:hAnsi="Verdana" w:cs="Times New Roman"/>
          <w:kern w:val="0"/>
          <w:sz w:val="20"/>
          <w:szCs w:val="20"/>
        </w:rPr>
        <w:t>верситета за национално и световно стопанство – гр. София по силата на сключен договор. Дейността по изготвяне на опростените разходи е документирана от страна на изпълнителя  в съответствие с т. 5.2.1.3 от Указанията на Европейската комисия за ОВР, като е изпол</w:t>
      </w:r>
      <w:r w:rsidRPr="00051D99">
        <w:rPr>
          <w:rFonts w:ascii="Verdana" w:eastAsiaTheme="minorHAnsi" w:hAnsi="Verdana" w:cs="Times New Roman"/>
          <w:kern w:val="0"/>
          <w:sz w:val="20"/>
          <w:szCs w:val="20"/>
        </w:rPr>
        <w:t>з</w:t>
      </w:r>
      <w:r w:rsidRPr="00051D99">
        <w:rPr>
          <w:rFonts w:ascii="Verdana" w:eastAsiaTheme="minorHAnsi" w:hAnsi="Verdana" w:cs="Times New Roman"/>
          <w:kern w:val="0"/>
          <w:sz w:val="20"/>
          <w:szCs w:val="20"/>
        </w:rPr>
        <w:t>ван подход определен съгласно чл. 67, параграф 5, буква „а“ от Регламент 1303/2013 за определяне на размера на опростения вариант на разходите, отговарящи на изискванията за коректен, справедлив и проверим метод на изчисление.</w:t>
      </w:r>
    </w:p>
    <w:p w:rsidR="00051D99" w:rsidRPr="00051D99" w:rsidRDefault="00051D99" w:rsidP="00051D99">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p w:rsidR="00051D99" w:rsidRPr="00051D99" w:rsidRDefault="00051D99" w:rsidP="00051D99">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681"/>
        <w:gridCol w:w="2899"/>
        <w:gridCol w:w="4960"/>
      </w:tblGrid>
      <w:tr w:rsidR="00BF749F" w:rsidRPr="00BF749F" w:rsidTr="00BF749F">
        <w:tc>
          <w:tcPr>
            <w:tcW w:w="228" w:type="pct"/>
            <w:shd w:val="clear" w:color="auto" w:fill="D9D9D9"/>
          </w:tcPr>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BF749F">
              <w:rPr>
                <w:rFonts w:ascii="Verdana" w:eastAsiaTheme="minorHAnsi" w:hAnsi="Verdana" w:cs="Times New Roman"/>
                <w:b/>
                <w:bCs/>
                <w:kern w:val="0"/>
                <w:sz w:val="16"/>
                <w:szCs w:val="16"/>
              </w:rPr>
              <w:t>№</w:t>
            </w:r>
          </w:p>
        </w:tc>
        <w:tc>
          <w:tcPr>
            <w:tcW w:w="841" w:type="pct"/>
            <w:shd w:val="clear" w:color="auto" w:fill="D9D9D9"/>
            <w:vAlign w:val="center"/>
          </w:tcPr>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BF749F">
              <w:rPr>
                <w:rFonts w:ascii="Verdana" w:eastAsiaTheme="minorHAnsi" w:hAnsi="Verdana" w:cs="Times New Roman"/>
                <w:b/>
                <w:bCs/>
                <w:kern w:val="0"/>
                <w:sz w:val="16"/>
                <w:szCs w:val="16"/>
              </w:rPr>
              <w:t>Част от ПРСР в която се прави предложение за промяна</w:t>
            </w:r>
          </w:p>
        </w:tc>
        <w:tc>
          <w:tcPr>
            <w:tcW w:w="1450" w:type="pct"/>
            <w:shd w:val="clear" w:color="auto" w:fill="D9D9D9"/>
            <w:vAlign w:val="center"/>
          </w:tcPr>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BF749F">
              <w:rPr>
                <w:rFonts w:ascii="Verdana" w:eastAsiaTheme="minorHAnsi" w:hAnsi="Verdana" w:cs="Times New Roman"/>
                <w:b/>
                <w:bCs/>
                <w:kern w:val="0"/>
                <w:sz w:val="16"/>
                <w:szCs w:val="16"/>
              </w:rPr>
              <w:t>Настоящ текст на подмярка 16 в ПРСР</w:t>
            </w:r>
          </w:p>
        </w:tc>
        <w:tc>
          <w:tcPr>
            <w:tcW w:w="2481" w:type="pct"/>
            <w:shd w:val="clear" w:color="auto" w:fill="D9D9D9"/>
            <w:vAlign w:val="center"/>
          </w:tcPr>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BF749F">
              <w:rPr>
                <w:rFonts w:ascii="Verdana" w:eastAsiaTheme="minorHAnsi" w:hAnsi="Verdana" w:cs="Times New Roman"/>
                <w:b/>
                <w:bCs/>
                <w:kern w:val="0"/>
                <w:sz w:val="16"/>
                <w:szCs w:val="16"/>
              </w:rPr>
              <w:t>Предложение за нов текст в подмярка 16 от ПРСР</w:t>
            </w:r>
          </w:p>
        </w:tc>
      </w:tr>
      <w:tr w:rsidR="00BF749F" w:rsidRPr="00BF749F" w:rsidTr="00BF749F">
        <w:trPr>
          <w:trHeight w:val="589"/>
        </w:trPr>
        <w:tc>
          <w:tcPr>
            <w:tcW w:w="228" w:type="pct"/>
            <w:tcBorders>
              <w:bottom w:val="single" w:sz="4" w:space="0" w:color="auto"/>
            </w:tcBorders>
            <w:shd w:val="clear" w:color="auto" w:fill="D9D9D9"/>
            <w:vAlign w:val="center"/>
          </w:tcPr>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imes New Roman"/>
                <w:bCs/>
                <w:kern w:val="0"/>
                <w:sz w:val="16"/>
                <w:szCs w:val="16"/>
              </w:rPr>
            </w:pPr>
          </w:p>
        </w:tc>
        <w:tc>
          <w:tcPr>
            <w:tcW w:w="841" w:type="pct"/>
            <w:tcBorders>
              <w:bottom w:val="single" w:sz="4" w:space="0" w:color="auto"/>
            </w:tcBorders>
            <w:shd w:val="clear" w:color="auto" w:fill="D9D9D9"/>
            <w:vAlign w:val="center"/>
          </w:tcPr>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heme="minorBidi"/>
                <w:b/>
                <w:kern w:val="0"/>
                <w:sz w:val="16"/>
                <w:szCs w:val="16"/>
              </w:rPr>
            </w:pPr>
            <w:r w:rsidRPr="00BF749F">
              <w:rPr>
                <w:rFonts w:ascii="Verdana" w:eastAsiaTheme="minorHAnsi" w:hAnsi="Verdana" w:cs="Times New Roman"/>
                <w:b/>
                <w:kern w:val="0"/>
                <w:sz w:val="16"/>
                <w:szCs w:val="16"/>
              </w:rPr>
              <w:t>Мярка 16 „Съ</w:t>
            </w:r>
            <w:r w:rsidRPr="00BF749F">
              <w:rPr>
                <w:rFonts w:ascii="Verdana" w:eastAsiaTheme="minorHAnsi" w:hAnsi="Verdana" w:cs="Times New Roman"/>
                <w:b/>
                <w:kern w:val="0"/>
                <w:sz w:val="16"/>
                <w:szCs w:val="16"/>
              </w:rPr>
              <w:t>г</w:t>
            </w:r>
            <w:r w:rsidRPr="00BF749F">
              <w:rPr>
                <w:rFonts w:ascii="Verdana" w:eastAsiaTheme="minorHAnsi" w:hAnsi="Verdana" w:cs="Times New Roman"/>
                <w:b/>
                <w:kern w:val="0"/>
                <w:sz w:val="16"/>
                <w:szCs w:val="16"/>
              </w:rPr>
              <w:t>рудничество“,</w:t>
            </w:r>
          </w:p>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heme="minorBidi"/>
                <w:b/>
                <w:kern w:val="0"/>
                <w:sz w:val="16"/>
                <w:szCs w:val="16"/>
              </w:rPr>
            </w:pPr>
            <w:r w:rsidRPr="00BF749F">
              <w:rPr>
                <w:rFonts w:ascii="Verdana" w:eastAsiaTheme="minorHAnsi" w:hAnsi="Verdana" w:cs="Times New Roman"/>
                <w:b/>
                <w:kern w:val="0"/>
                <w:sz w:val="16"/>
                <w:szCs w:val="16"/>
              </w:rPr>
              <w:t>подмярка 16.1. „Подкрепа за сформиране и функционир</w:t>
            </w:r>
            <w:r w:rsidRPr="00BF749F">
              <w:rPr>
                <w:rFonts w:ascii="Verdana" w:eastAsiaTheme="minorHAnsi" w:hAnsi="Verdana" w:cs="Times New Roman"/>
                <w:b/>
                <w:kern w:val="0"/>
                <w:sz w:val="16"/>
                <w:szCs w:val="16"/>
              </w:rPr>
              <w:t>а</w:t>
            </w:r>
            <w:r w:rsidRPr="00BF749F">
              <w:rPr>
                <w:rFonts w:ascii="Verdana" w:eastAsiaTheme="minorHAnsi" w:hAnsi="Verdana" w:cs="Times New Roman"/>
                <w:b/>
                <w:kern w:val="0"/>
                <w:sz w:val="16"/>
                <w:szCs w:val="16"/>
              </w:rPr>
              <w:t>не на опер</w:t>
            </w:r>
            <w:r w:rsidRPr="00BF749F">
              <w:rPr>
                <w:rFonts w:ascii="Verdana" w:eastAsiaTheme="minorHAnsi" w:hAnsi="Verdana" w:cs="Times New Roman"/>
                <w:b/>
                <w:kern w:val="0"/>
                <w:sz w:val="16"/>
                <w:szCs w:val="16"/>
              </w:rPr>
              <w:t>а</w:t>
            </w:r>
            <w:r w:rsidRPr="00BF749F">
              <w:rPr>
                <w:rFonts w:ascii="Verdana" w:eastAsiaTheme="minorHAnsi" w:hAnsi="Verdana" w:cs="Times New Roman"/>
                <w:b/>
                <w:kern w:val="0"/>
                <w:sz w:val="16"/>
                <w:szCs w:val="16"/>
              </w:rPr>
              <w:t>тивни групи в рамките на ЕПИ“.</w:t>
            </w:r>
          </w:p>
        </w:tc>
        <w:tc>
          <w:tcPr>
            <w:tcW w:w="1450" w:type="pct"/>
            <w:tcBorders>
              <w:bottom w:val="single" w:sz="4" w:space="0" w:color="auto"/>
            </w:tcBorders>
            <w:shd w:val="clear" w:color="auto" w:fill="D9D9D9"/>
          </w:tcPr>
          <w:p w:rsidR="00BF749F" w:rsidRPr="00BF749F" w:rsidRDefault="00BF749F" w:rsidP="00BF749F">
            <w:pPr>
              <w:widowControl/>
              <w:suppressAutoHyphens w:val="0"/>
              <w:autoSpaceDN/>
              <w:spacing w:after="0" w:line="240" w:lineRule="auto"/>
              <w:jc w:val="both"/>
              <w:textAlignment w:val="auto"/>
              <w:rPr>
                <w:rFonts w:ascii="Verdana" w:eastAsiaTheme="minorHAnsi" w:hAnsi="Verdana" w:cs="Times New Roman"/>
                <w:b/>
                <w:bCs/>
                <w:kern w:val="0"/>
                <w:sz w:val="16"/>
                <w:szCs w:val="16"/>
              </w:rPr>
            </w:pPr>
          </w:p>
        </w:tc>
        <w:tc>
          <w:tcPr>
            <w:tcW w:w="2481" w:type="pct"/>
            <w:tcBorders>
              <w:bottom w:val="single" w:sz="4" w:space="0" w:color="auto"/>
            </w:tcBorders>
            <w:shd w:val="clear" w:color="auto" w:fill="D9D9D9"/>
          </w:tcPr>
          <w:p w:rsidR="00BF749F" w:rsidRPr="00BF749F" w:rsidRDefault="00BF749F" w:rsidP="00BF749F">
            <w:pPr>
              <w:widowControl/>
              <w:suppressAutoHyphens w:val="0"/>
              <w:autoSpaceDN/>
              <w:spacing w:after="0" w:line="240" w:lineRule="auto"/>
              <w:jc w:val="both"/>
              <w:textAlignment w:val="auto"/>
              <w:rPr>
                <w:rFonts w:ascii="Verdana" w:eastAsiaTheme="minorHAnsi" w:hAnsi="Verdana" w:cs="Times New Roman"/>
                <w:b/>
                <w:bCs/>
                <w:kern w:val="0"/>
                <w:sz w:val="16"/>
                <w:szCs w:val="16"/>
              </w:rPr>
            </w:pPr>
          </w:p>
        </w:tc>
      </w:tr>
      <w:tr w:rsidR="00BF749F" w:rsidRPr="00BF749F" w:rsidTr="00BF749F">
        <w:trPr>
          <w:trHeight w:val="898"/>
        </w:trPr>
        <w:tc>
          <w:tcPr>
            <w:tcW w:w="228" w:type="pct"/>
            <w:shd w:val="clear" w:color="auto" w:fill="auto"/>
            <w:vAlign w:val="center"/>
          </w:tcPr>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imes New Roman"/>
                <w:bCs/>
                <w:kern w:val="0"/>
                <w:sz w:val="16"/>
                <w:szCs w:val="16"/>
              </w:rPr>
            </w:pPr>
            <w:r w:rsidRPr="00BF749F">
              <w:rPr>
                <w:rFonts w:ascii="Verdana" w:eastAsiaTheme="minorHAnsi" w:hAnsi="Verdana" w:cs="Times New Roman"/>
                <w:bCs/>
                <w:kern w:val="0"/>
                <w:sz w:val="16"/>
                <w:szCs w:val="16"/>
              </w:rPr>
              <w:t>1.</w:t>
            </w:r>
          </w:p>
        </w:tc>
        <w:tc>
          <w:tcPr>
            <w:tcW w:w="841" w:type="pct"/>
            <w:shd w:val="clear" w:color="auto" w:fill="auto"/>
            <w:vAlign w:val="center"/>
          </w:tcPr>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imes New Roman"/>
                <w:b/>
                <w:bCs/>
                <w:kern w:val="0"/>
                <w:sz w:val="16"/>
                <w:szCs w:val="16"/>
              </w:rPr>
            </w:pPr>
            <w:r w:rsidRPr="00BF749F">
              <w:rPr>
                <w:rFonts w:ascii="Verdana" w:eastAsiaTheme="minorHAnsi" w:hAnsi="Verdana" w:cs="Times New Roman"/>
                <w:b/>
                <w:bCs/>
                <w:kern w:val="0"/>
                <w:sz w:val="16"/>
                <w:szCs w:val="16"/>
              </w:rPr>
              <w:t xml:space="preserve"> Точка 8.2.14.3.1.8. „(Приложими) суми и проце</w:t>
            </w:r>
            <w:r w:rsidRPr="00BF749F">
              <w:rPr>
                <w:rFonts w:ascii="Verdana" w:eastAsiaTheme="minorHAnsi" w:hAnsi="Verdana" w:cs="Times New Roman"/>
                <w:b/>
                <w:bCs/>
                <w:kern w:val="0"/>
                <w:sz w:val="16"/>
                <w:szCs w:val="16"/>
              </w:rPr>
              <w:t>н</w:t>
            </w:r>
            <w:r w:rsidRPr="00BF749F">
              <w:rPr>
                <w:rFonts w:ascii="Verdana" w:eastAsiaTheme="minorHAnsi" w:hAnsi="Verdana" w:cs="Times New Roman"/>
                <w:b/>
                <w:bCs/>
                <w:kern w:val="0"/>
                <w:sz w:val="16"/>
                <w:szCs w:val="16"/>
              </w:rPr>
              <w:t>ти на предо</w:t>
            </w:r>
            <w:r w:rsidRPr="00BF749F">
              <w:rPr>
                <w:rFonts w:ascii="Verdana" w:eastAsiaTheme="minorHAnsi" w:hAnsi="Verdana" w:cs="Times New Roman"/>
                <w:b/>
                <w:bCs/>
                <w:kern w:val="0"/>
                <w:sz w:val="16"/>
                <w:szCs w:val="16"/>
              </w:rPr>
              <w:t>с</w:t>
            </w:r>
            <w:r w:rsidRPr="00BF749F">
              <w:rPr>
                <w:rFonts w:ascii="Verdana" w:eastAsiaTheme="minorHAnsi" w:hAnsi="Verdana" w:cs="Times New Roman"/>
                <w:b/>
                <w:bCs/>
                <w:kern w:val="0"/>
                <w:sz w:val="16"/>
                <w:szCs w:val="16"/>
              </w:rPr>
              <w:t>тавяната под</w:t>
            </w:r>
            <w:r w:rsidRPr="00BF749F">
              <w:rPr>
                <w:rFonts w:ascii="Verdana" w:eastAsiaTheme="minorHAnsi" w:hAnsi="Verdana" w:cs="Times New Roman"/>
                <w:b/>
                <w:bCs/>
                <w:kern w:val="0"/>
                <w:sz w:val="16"/>
                <w:szCs w:val="16"/>
              </w:rPr>
              <w:t>к</w:t>
            </w:r>
            <w:r w:rsidRPr="00BF749F">
              <w:rPr>
                <w:rFonts w:ascii="Verdana" w:eastAsiaTheme="minorHAnsi" w:hAnsi="Verdana" w:cs="Times New Roman"/>
                <w:b/>
                <w:bCs/>
                <w:kern w:val="0"/>
                <w:sz w:val="16"/>
                <w:szCs w:val="16"/>
              </w:rPr>
              <w:t>репа“</w:t>
            </w:r>
          </w:p>
          <w:p w:rsidR="00BF749F" w:rsidRPr="00BF749F" w:rsidRDefault="00BF749F" w:rsidP="00BF749F">
            <w:pPr>
              <w:widowControl/>
              <w:suppressAutoHyphens w:val="0"/>
              <w:autoSpaceDN/>
              <w:spacing w:after="0" w:line="240" w:lineRule="auto"/>
              <w:jc w:val="center"/>
              <w:textAlignment w:val="auto"/>
              <w:rPr>
                <w:rFonts w:ascii="Verdana" w:eastAsiaTheme="minorHAnsi" w:hAnsi="Verdana" w:cs="Times New Roman"/>
                <w:b/>
                <w:bCs/>
                <w:kern w:val="0"/>
                <w:sz w:val="16"/>
                <w:szCs w:val="16"/>
              </w:rPr>
            </w:pPr>
          </w:p>
        </w:tc>
        <w:tc>
          <w:tcPr>
            <w:tcW w:w="1450" w:type="pct"/>
            <w:shd w:val="clear" w:color="auto" w:fill="auto"/>
          </w:tcPr>
          <w:p w:rsidR="00BF749F" w:rsidRPr="00BF749F" w:rsidRDefault="00BF749F" w:rsidP="00BF749F">
            <w:pPr>
              <w:widowControl/>
              <w:suppressAutoHyphens w:val="0"/>
              <w:autoSpaceDN/>
              <w:spacing w:after="0" w:line="240" w:lineRule="auto"/>
              <w:jc w:val="both"/>
              <w:textAlignment w:val="auto"/>
              <w:rPr>
                <w:rFonts w:ascii="Verdana" w:eastAsiaTheme="minorHAnsi" w:hAnsi="Verdana" w:cs="Times New Roman"/>
                <w:bCs/>
                <w:kern w:val="0"/>
                <w:sz w:val="16"/>
                <w:szCs w:val="16"/>
              </w:rPr>
            </w:pPr>
            <w:r w:rsidRPr="00BF749F">
              <w:rPr>
                <w:rFonts w:ascii="Verdana" w:eastAsiaTheme="minorHAnsi" w:hAnsi="Verdana" w:cs="Times New Roman"/>
                <w:bCs/>
                <w:kern w:val="0"/>
                <w:sz w:val="16"/>
                <w:szCs w:val="16"/>
              </w:rPr>
              <w:t>Максималният размер на д</w:t>
            </w:r>
            <w:r w:rsidRPr="00BF749F">
              <w:rPr>
                <w:rFonts w:ascii="Verdana" w:eastAsiaTheme="minorHAnsi" w:hAnsi="Verdana" w:cs="Times New Roman"/>
                <w:bCs/>
                <w:kern w:val="0"/>
                <w:sz w:val="16"/>
                <w:szCs w:val="16"/>
              </w:rPr>
              <w:t>о</w:t>
            </w:r>
            <w:r w:rsidRPr="00BF749F">
              <w:rPr>
                <w:rFonts w:ascii="Verdana" w:eastAsiaTheme="minorHAnsi" w:hAnsi="Verdana" w:cs="Times New Roman"/>
                <w:bCs/>
                <w:kern w:val="0"/>
                <w:sz w:val="16"/>
                <w:szCs w:val="16"/>
              </w:rPr>
              <w:t>пустимите разходи за една оперативна група за един пр</w:t>
            </w:r>
            <w:r w:rsidRPr="00BF749F">
              <w:rPr>
                <w:rFonts w:ascii="Verdana" w:eastAsiaTheme="minorHAnsi" w:hAnsi="Verdana" w:cs="Times New Roman"/>
                <w:bCs/>
                <w:kern w:val="0"/>
                <w:sz w:val="16"/>
                <w:szCs w:val="16"/>
              </w:rPr>
              <w:t>о</w:t>
            </w:r>
            <w:r w:rsidRPr="00BF749F">
              <w:rPr>
                <w:rFonts w:ascii="Verdana" w:eastAsiaTheme="minorHAnsi" w:hAnsi="Verdana" w:cs="Times New Roman"/>
                <w:bCs/>
                <w:kern w:val="0"/>
                <w:sz w:val="16"/>
                <w:szCs w:val="16"/>
              </w:rPr>
              <w:t>ект е 1 000 000 евро.</w:t>
            </w:r>
          </w:p>
        </w:tc>
        <w:tc>
          <w:tcPr>
            <w:tcW w:w="2481" w:type="pct"/>
            <w:shd w:val="clear" w:color="auto" w:fill="auto"/>
          </w:tcPr>
          <w:p w:rsidR="00BF749F" w:rsidRPr="00BF749F" w:rsidRDefault="00BF749F" w:rsidP="00BF749F">
            <w:pPr>
              <w:widowControl/>
              <w:suppressAutoHyphens w:val="0"/>
              <w:autoSpaceDN/>
              <w:spacing w:after="0" w:line="240" w:lineRule="auto"/>
              <w:jc w:val="both"/>
              <w:textAlignment w:val="auto"/>
              <w:rPr>
                <w:rFonts w:ascii="Verdana" w:eastAsiaTheme="minorHAnsi" w:hAnsi="Verdana" w:cs="Times New Roman"/>
                <w:bCs/>
                <w:kern w:val="0"/>
                <w:sz w:val="16"/>
                <w:szCs w:val="16"/>
              </w:rPr>
            </w:pPr>
            <w:r w:rsidRPr="00BF749F">
              <w:rPr>
                <w:rFonts w:ascii="Verdana" w:eastAsiaTheme="minorHAnsi" w:hAnsi="Verdana" w:cs="Times New Roman"/>
                <w:bCs/>
                <w:kern w:val="0"/>
                <w:sz w:val="16"/>
                <w:szCs w:val="16"/>
              </w:rPr>
              <w:t xml:space="preserve">Максималният размер на допустимите разходи за една оперативна група за един проект е </w:t>
            </w:r>
            <w:r w:rsidRPr="00BF749F">
              <w:rPr>
                <w:rFonts w:ascii="Verdana" w:eastAsiaTheme="minorHAnsi" w:hAnsi="Verdana" w:cs="Times New Roman"/>
                <w:bCs/>
                <w:strike/>
                <w:kern w:val="0"/>
                <w:sz w:val="16"/>
                <w:szCs w:val="16"/>
              </w:rPr>
              <w:t>1 000 000</w:t>
            </w:r>
            <w:r w:rsidRPr="00BF749F">
              <w:rPr>
                <w:rFonts w:ascii="Verdana" w:eastAsiaTheme="minorHAnsi" w:hAnsi="Verdana" w:cs="Times New Roman"/>
                <w:bCs/>
                <w:kern w:val="0"/>
                <w:sz w:val="16"/>
                <w:szCs w:val="16"/>
              </w:rPr>
              <w:t xml:space="preserve">  </w:t>
            </w:r>
            <w:r w:rsidRPr="00BF749F">
              <w:rPr>
                <w:rFonts w:ascii="Verdana" w:eastAsiaTheme="minorHAnsi" w:hAnsi="Verdana" w:cs="Times New Roman"/>
                <w:b/>
                <w:bCs/>
                <w:color w:val="FF0000"/>
                <w:kern w:val="0"/>
                <w:sz w:val="16"/>
                <w:szCs w:val="16"/>
                <w:u w:val="single"/>
              </w:rPr>
              <w:t>450 000</w:t>
            </w:r>
            <w:r w:rsidRPr="00BF749F">
              <w:rPr>
                <w:rFonts w:ascii="Verdana" w:eastAsiaTheme="minorHAnsi" w:hAnsi="Verdana" w:cs="Times New Roman"/>
                <w:bCs/>
                <w:color w:val="FF0000"/>
                <w:kern w:val="0"/>
                <w:sz w:val="16"/>
                <w:szCs w:val="16"/>
              </w:rPr>
              <w:t xml:space="preserve"> </w:t>
            </w:r>
            <w:r w:rsidRPr="00BF749F">
              <w:rPr>
                <w:rFonts w:ascii="Verdana" w:eastAsiaTheme="minorHAnsi" w:hAnsi="Verdana" w:cs="Times New Roman"/>
                <w:bCs/>
                <w:kern w:val="0"/>
                <w:sz w:val="16"/>
                <w:szCs w:val="16"/>
              </w:rPr>
              <w:t>евро.</w:t>
            </w:r>
          </w:p>
        </w:tc>
      </w:tr>
      <w:tr w:rsidR="00BF749F" w:rsidRPr="00BF749F" w:rsidTr="00BF749F">
        <w:trPr>
          <w:trHeight w:val="223"/>
        </w:trPr>
        <w:tc>
          <w:tcPr>
            <w:tcW w:w="228" w:type="pct"/>
            <w:shd w:val="clear" w:color="auto" w:fill="auto"/>
            <w:vAlign w:val="center"/>
          </w:tcPr>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lang w:val="en-GB"/>
              </w:rPr>
            </w:pPr>
            <w:r w:rsidRPr="00BF749F">
              <w:rPr>
                <w:rFonts w:ascii="Verdana" w:eastAsia="Times New Roman" w:hAnsi="Verdana" w:cs="Times New Roman"/>
                <w:kern w:val="0"/>
                <w:sz w:val="16"/>
                <w:szCs w:val="16"/>
              </w:rPr>
              <w:lastRenderedPageBreak/>
              <w:t>2</w:t>
            </w:r>
            <w:r w:rsidRPr="00BF749F">
              <w:rPr>
                <w:rFonts w:ascii="Verdana" w:eastAsia="Times New Roman" w:hAnsi="Verdana" w:cs="Times New Roman"/>
                <w:kern w:val="0"/>
                <w:sz w:val="16"/>
                <w:szCs w:val="16"/>
                <w:lang w:val="en-GB"/>
              </w:rPr>
              <w:t>.</w:t>
            </w:r>
          </w:p>
        </w:tc>
        <w:tc>
          <w:tcPr>
            <w:tcW w:w="841" w:type="pct"/>
            <w:shd w:val="clear" w:color="auto" w:fill="auto"/>
            <w:vAlign w:val="center"/>
          </w:tcPr>
          <w:p w:rsidR="00BF749F" w:rsidRPr="00BF749F" w:rsidRDefault="00BF749F" w:rsidP="00BF749F">
            <w:pPr>
              <w:widowControl/>
              <w:suppressAutoHyphens w:val="0"/>
              <w:autoSpaceDN/>
              <w:spacing w:after="0" w:line="240" w:lineRule="auto"/>
              <w:jc w:val="center"/>
              <w:textAlignment w:val="auto"/>
              <w:rPr>
                <w:rFonts w:ascii="Verdana" w:eastAsia="Times New Roman" w:hAnsi="Verdana" w:cs="Times New Roman"/>
                <w:b/>
                <w:kern w:val="0"/>
                <w:sz w:val="16"/>
                <w:szCs w:val="16"/>
              </w:rPr>
            </w:pPr>
            <w:r w:rsidRPr="00BF749F">
              <w:rPr>
                <w:rFonts w:ascii="Verdana" w:eastAsia="Times New Roman" w:hAnsi="Verdana" w:cs="Times New Roman"/>
                <w:b/>
                <w:kern w:val="0"/>
                <w:sz w:val="16"/>
                <w:szCs w:val="16"/>
              </w:rPr>
              <w:t xml:space="preserve">Точка </w:t>
            </w:r>
            <w:r w:rsidRPr="00BF749F">
              <w:rPr>
                <w:rFonts w:ascii="Verdana" w:eastAsia="Times New Roman" w:hAnsi="Verdana" w:cs="Times New Roman"/>
                <w:b/>
                <w:kern w:val="0"/>
                <w:sz w:val="16"/>
                <w:szCs w:val="16"/>
                <w:lang w:val="en-GB"/>
              </w:rPr>
              <w:t xml:space="preserve">8.2.14.3.1.10. </w:t>
            </w:r>
            <w:r w:rsidRPr="00BF749F">
              <w:rPr>
                <w:rFonts w:ascii="Verdana" w:eastAsia="Times New Roman" w:hAnsi="Verdana" w:cs="Times New Roman"/>
                <w:b/>
                <w:kern w:val="0"/>
                <w:sz w:val="16"/>
                <w:szCs w:val="16"/>
              </w:rPr>
              <w:t>„</w:t>
            </w:r>
            <w:r w:rsidRPr="00BF749F">
              <w:rPr>
                <w:rFonts w:ascii="Verdana" w:eastAsia="Times New Roman" w:hAnsi="Verdana" w:cs="Times New Roman"/>
                <w:b/>
                <w:kern w:val="0"/>
                <w:sz w:val="16"/>
                <w:szCs w:val="16"/>
                <w:lang w:val="en-GB"/>
              </w:rPr>
              <w:t>Методология за изчисляване на размера или процента на подпомагане, когато е уместно</w:t>
            </w:r>
            <w:r w:rsidRPr="00BF749F">
              <w:rPr>
                <w:rFonts w:ascii="Verdana" w:eastAsia="Times New Roman" w:hAnsi="Verdana" w:cs="Times New Roman"/>
                <w:b/>
                <w:kern w:val="0"/>
                <w:sz w:val="16"/>
                <w:szCs w:val="16"/>
              </w:rPr>
              <w:t>“</w:t>
            </w:r>
          </w:p>
        </w:tc>
        <w:tc>
          <w:tcPr>
            <w:tcW w:w="1450" w:type="pct"/>
            <w:shd w:val="clear" w:color="auto" w:fill="auto"/>
            <w:vAlign w:val="center"/>
          </w:tcPr>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t>Определянето на стойността на разходите за проучвания, ра</w:t>
            </w:r>
            <w:r w:rsidRPr="00BF749F">
              <w:rPr>
                <w:rFonts w:ascii="Verdana" w:eastAsia="Times New Roman" w:hAnsi="Verdana" w:cs="Times New Roman"/>
                <w:kern w:val="0"/>
                <w:sz w:val="16"/>
                <w:szCs w:val="16"/>
              </w:rPr>
              <w:t>з</w:t>
            </w:r>
            <w:r w:rsidRPr="00BF749F">
              <w:rPr>
                <w:rFonts w:ascii="Verdana" w:eastAsia="Times New Roman" w:hAnsi="Verdana" w:cs="Times New Roman"/>
                <w:kern w:val="0"/>
                <w:sz w:val="16"/>
                <w:szCs w:val="16"/>
              </w:rPr>
              <w:t>ходите за стимулиране на и</w:t>
            </w:r>
            <w:r w:rsidRPr="00BF749F">
              <w:rPr>
                <w:rFonts w:ascii="Verdana" w:eastAsia="Times New Roman" w:hAnsi="Verdana" w:cs="Times New Roman"/>
                <w:kern w:val="0"/>
                <w:sz w:val="16"/>
                <w:szCs w:val="16"/>
              </w:rPr>
              <w:t>н</w:t>
            </w:r>
            <w:r w:rsidRPr="00BF749F">
              <w:rPr>
                <w:rFonts w:ascii="Verdana" w:eastAsia="Times New Roman" w:hAnsi="Verdana" w:cs="Times New Roman"/>
                <w:kern w:val="0"/>
                <w:sz w:val="16"/>
                <w:szCs w:val="16"/>
              </w:rPr>
              <w:t>терес и за текущите разходи във връзка със сътрудничес</w:t>
            </w:r>
            <w:r w:rsidRPr="00BF749F">
              <w:rPr>
                <w:rFonts w:ascii="Verdana" w:eastAsia="Times New Roman" w:hAnsi="Verdana" w:cs="Times New Roman"/>
                <w:kern w:val="0"/>
                <w:sz w:val="16"/>
                <w:szCs w:val="16"/>
              </w:rPr>
              <w:t>т</w:t>
            </w:r>
            <w:r w:rsidRPr="00BF749F">
              <w:rPr>
                <w:rFonts w:ascii="Verdana" w:eastAsia="Times New Roman" w:hAnsi="Verdana" w:cs="Times New Roman"/>
                <w:kern w:val="0"/>
                <w:sz w:val="16"/>
                <w:szCs w:val="16"/>
              </w:rPr>
              <w:t>вото за всяка оперативна група ще се базира на стандартни разходи, съгласно чл. 67, п</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раграф 1, буква б) от Регл</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мент (ЕС) № 1303/2013. При определянето на стандартните изчисления за разходите ще се прилагат условията на чл. 67, параграф 5, буква а) от Регл</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мент (ЕС) № 1303/2013.</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t>Стандартните разходи по по</w:t>
            </w:r>
            <w:r w:rsidRPr="00BF749F">
              <w:rPr>
                <w:rFonts w:ascii="Verdana" w:eastAsia="Times New Roman" w:hAnsi="Verdana" w:cs="Times New Roman"/>
                <w:kern w:val="0"/>
                <w:sz w:val="16"/>
                <w:szCs w:val="16"/>
              </w:rPr>
              <w:t>д</w:t>
            </w:r>
            <w:r w:rsidRPr="00BF749F">
              <w:rPr>
                <w:rFonts w:ascii="Verdana" w:eastAsia="Times New Roman" w:hAnsi="Verdana" w:cs="Times New Roman"/>
                <w:kern w:val="0"/>
                <w:sz w:val="16"/>
                <w:szCs w:val="16"/>
              </w:rPr>
              <w:t>мярка 16.1. са изчислени по методика, при която е  допу</w:t>
            </w:r>
            <w:r w:rsidRPr="00BF749F">
              <w:rPr>
                <w:rFonts w:ascii="Verdana" w:eastAsia="Times New Roman" w:hAnsi="Verdana" w:cs="Times New Roman"/>
                <w:kern w:val="0"/>
                <w:sz w:val="16"/>
                <w:szCs w:val="16"/>
              </w:rPr>
              <w:t>с</w:t>
            </w:r>
            <w:r w:rsidRPr="00BF749F">
              <w:rPr>
                <w:rFonts w:ascii="Verdana" w:eastAsia="Times New Roman" w:hAnsi="Verdana" w:cs="Times New Roman"/>
                <w:kern w:val="0"/>
                <w:sz w:val="16"/>
                <w:szCs w:val="16"/>
              </w:rPr>
              <w:t>нато, че ще има три вида ра</w:t>
            </w:r>
            <w:r w:rsidRPr="00BF749F">
              <w:rPr>
                <w:rFonts w:ascii="Verdana" w:eastAsia="Times New Roman" w:hAnsi="Verdana" w:cs="Times New Roman"/>
                <w:kern w:val="0"/>
                <w:sz w:val="16"/>
                <w:szCs w:val="16"/>
              </w:rPr>
              <w:t>з</w:t>
            </w:r>
            <w:r w:rsidRPr="00BF749F">
              <w:rPr>
                <w:rFonts w:ascii="Verdana" w:eastAsia="Times New Roman" w:hAnsi="Verdana" w:cs="Times New Roman"/>
                <w:kern w:val="0"/>
                <w:sz w:val="16"/>
                <w:szCs w:val="16"/>
              </w:rPr>
              <w:t>ходи, които произтичат от акта на сътрудничеството и орган</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зацията на изпълнението на иновативния проект на опер</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тивните групи. Определянето на вида на опростените разх</w:t>
            </w:r>
            <w:r w:rsidRPr="00BF749F">
              <w:rPr>
                <w:rFonts w:ascii="Verdana" w:eastAsia="Times New Roman" w:hAnsi="Verdana" w:cs="Times New Roman"/>
                <w:kern w:val="0"/>
                <w:sz w:val="16"/>
                <w:szCs w:val="16"/>
              </w:rPr>
              <w:t>о</w:t>
            </w:r>
            <w:r w:rsidRPr="00BF749F">
              <w:rPr>
                <w:rFonts w:ascii="Verdana" w:eastAsia="Times New Roman" w:hAnsi="Verdana" w:cs="Times New Roman"/>
                <w:kern w:val="0"/>
                <w:sz w:val="16"/>
                <w:szCs w:val="16"/>
              </w:rPr>
              <w:t>ди за сформиране и функци</w:t>
            </w:r>
            <w:r w:rsidRPr="00BF749F">
              <w:rPr>
                <w:rFonts w:ascii="Verdana" w:eastAsia="Times New Roman" w:hAnsi="Verdana" w:cs="Times New Roman"/>
                <w:kern w:val="0"/>
                <w:sz w:val="16"/>
                <w:szCs w:val="16"/>
              </w:rPr>
              <w:t>о</w:t>
            </w:r>
            <w:r w:rsidRPr="00BF749F">
              <w:rPr>
                <w:rFonts w:ascii="Verdana" w:eastAsia="Times New Roman" w:hAnsi="Verdana" w:cs="Times New Roman"/>
                <w:kern w:val="0"/>
                <w:sz w:val="16"/>
                <w:szCs w:val="16"/>
              </w:rPr>
              <w:t>ниране на ОП на ЕПИ и мет</w:t>
            </w:r>
            <w:r w:rsidRPr="00BF749F">
              <w:rPr>
                <w:rFonts w:ascii="Verdana" w:eastAsia="Times New Roman" w:hAnsi="Verdana" w:cs="Times New Roman"/>
                <w:kern w:val="0"/>
                <w:sz w:val="16"/>
                <w:szCs w:val="16"/>
              </w:rPr>
              <w:t>о</w:t>
            </w:r>
            <w:r w:rsidRPr="00BF749F">
              <w:rPr>
                <w:rFonts w:ascii="Verdana" w:eastAsia="Times New Roman" w:hAnsi="Verdana" w:cs="Times New Roman"/>
                <w:kern w:val="0"/>
                <w:sz w:val="16"/>
                <w:szCs w:val="16"/>
              </w:rPr>
              <w:t>диката за извършване на и</w:t>
            </w:r>
            <w:r w:rsidRPr="00BF749F">
              <w:rPr>
                <w:rFonts w:ascii="Verdana" w:eastAsia="Times New Roman" w:hAnsi="Verdana" w:cs="Times New Roman"/>
                <w:kern w:val="0"/>
                <w:sz w:val="16"/>
                <w:szCs w:val="16"/>
              </w:rPr>
              <w:t>з</w:t>
            </w:r>
            <w:r w:rsidRPr="00BF749F">
              <w:rPr>
                <w:rFonts w:ascii="Verdana" w:eastAsia="Times New Roman" w:hAnsi="Verdana" w:cs="Times New Roman"/>
                <w:kern w:val="0"/>
                <w:sz w:val="16"/>
                <w:szCs w:val="16"/>
              </w:rPr>
              <w:t>численията се базира на и</w:t>
            </w:r>
            <w:r w:rsidRPr="00BF749F">
              <w:rPr>
                <w:rFonts w:ascii="Verdana" w:eastAsia="Times New Roman" w:hAnsi="Verdana" w:cs="Times New Roman"/>
                <w:kern w:val="0"/>
                <w:sz w:val="16"/>
                <w:szCs w:val="16"/>
              </w:rPr>
              <w:t>з</w:t>
            </w:r>
            <w:r w:rsidRPr="00BF749F">
              <w:rPr>
                <w:rFonts w:ascii="Verdana" w:eastAsia="Times New Roman" w:hAnsi="Verdana" w:cs="Times New Roman"/>
                <w:kern w:val="0"/>
                <w:sz w:val="16"/>
                <w:szCs w:val="16"/>
              </w:rPr>
              <w:t>ползването на методите на статистическия анализ и по-точно на технологията „Извл</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чане на знания от данни“ (Data mining) като процес на откр</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ване на смислени корелации, зависимости, повтарящи се образци и тенденции в големи масиви от данни. Този вид из</w:t>
            </w:r>
            <w:r w:rsidRPr="00BF749F">
              <w:rPr>
                <w:rFonts w:ascii="Verdana" w:eastAsia="Times New Roman" w:hAnsi="Verdana" w:cs="Times New Roman"/>
                <w:kern w:val="0"/>
                <w:sz w:val="16"/>
                <w:szCs w:val="16"/>
              </w:rPr>
              <w:t>в</w:t>
            </w:r>
            <w:r w:rsidRPr="00BF749F">
              <w:rPr>
                <w:rFonts w:ascii="Verdana" w:eastAsia="Times New Roman" w:hAnsi="Verdana" w:cs="Times New Roman"/>
                <w:kern w:val="0"/>
                <w:sz w:val="16"/>
                <w:szCs w:val="16"/>
              </w:rPr>
              <w:t>личане на данни посредством предварително формулирани заявки към базите данни съ</w:t>
            </w:r>
            <w:r w:rsidRPr="00BF749F">
              <w:rPr>
                <w:rFonts w:ascii="Verdana" w:eastAsia="Times New Roman" w:hAnsi="Verdana" w:cs="Times New Roman"/>
                <w:kern w:val="0"/>
                <w:sz w:val="16"/>
                <w:szCs w:val="16"/>
              </w:rPr>
              <w:t>б</w:t>
            </w:r>
            <w:r w:rsidRPr="00BF749F">
              <w:rPr>
                <w:rFonts w:ascii="Verdana" w:eastAsia="Times New Roman" w:hAnsi="Verdana" w:cs="Times New Roman"/>
                <w:kern w:val="0"/>
                <w:sz w:val="16"/>
                <w:szCs w:val="16"/>
              </w:rPr>
              <w:t>рани от предишни периоди, генерира имплицитно форм</w:t>
            </w:r>
            <w:r w:rsidRPr="00BF749F">
              <w:rPr>
                <w:rFonts w:ascii="Verdana" w:eastAsia="Times New Roman" w:hAnsi="Verdana" w:cs="Times New Roman"/>
                <w:kern w:val="0"/>
                <w:sz w:val="16"/>
                <w:szCs w:val="16"/>
              </w:rPr>
              <w:t>у</w:t>
            </w:r>
            <w:r w:rsidRPr="00BF749F">
              <w:rPr>
                <w:rFonts w:ascii="Verdana" w:eastAsia="Times New Roman" w:hAnsi="Verdana" w:cs="Times New Roman"/>
                <w:kern w:val="0"/>
                <w:sz w:val="16"/>
                <w:szCs w:val="16"/>
              </w:rPr>
              <w:t>лиране на не очевидна, пре</w:t>
            </w:r>
            <w:r w:rsidRPr="00BF749F">
              <w:rPr>
                <w:rFonts w:ascii="Verdana" w:eastAsia="Times New Roman" w:hAnsi="Verdana" w:cs="Times New Roman"/>
                <w:kern w:val="0"/>
                <w:sz w:val="16"/>
                <w:szCs w:val="16"/>
              </w:rPr>
              <w:t>д</w:t>
            </w:r>
            <w:r w:rsidRPr="00BF749F">
              <w:rPr>
                <w:rFonts w:ascii="Verdana" w:eastAsia="Times New Roman" w:hAnsi="Verdana" w:cs="Times New Roman"/>
                <w:kern w:val="0"/>
                <w:sz w:val="16"/>
                <w:szCs w:val="16"/>
              </w:rPr>
              <w:t>варително известна и полезна информация за използване на допустими, одобрени, прозра</w:t>
            </w:r>
            <w:r w:rsidRPr="00BF749F">
              <w:rPr>
                <w:rFonts w:ascii="Verdana" w:eastAsia="Times New Roman" w:hAnsi="Verdana" w:cs="Times New Roman"/>
                <w:kern w:val="0"/>
                <w:sz w:val="16"/>
                <w:szCs w:val="16"/>
              </w:rPr>
              <w:t>ч</w:t>
            </w:r>
            <w:r w:rsidRPr="00BF749F">
              <w:rPr>
                <w:rFonts w:ascii="Verdana" w:eastAsia="Times New Roman" w:hAnsi="Verdana" w:cs="Times New Roman"/>
                <w:kern w:val="0"/>
                <w:sz w:val="16"/>
                <w:szCs w:val="16"/>
              </w:rPr>
              <w:t>но и точно направени разходи в минали периода за оценка на бъдещите такива. Предложени са три вида разходи, произт</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чащи от акта на сътрудничес</w:t>
            </w:r>
            <w:r w:rsidRPr="00BF749F">
              <w:rPr>
                <w:rFonts w:ascii="Verdana" w:eastAsia="Times New Roman" w:hAnsi="Verdana" w:cs="Times New Roman"/>
                <w:kern w:val="0"/>
                <w:sz w:val="16"/>
                <w:szCs w:val="16"/>
              </w:rPr>
              <w:t>т</w:t>
            </w:r>
            <w:r w:rsidRPr="00BF749F">
              <w:rPr>
                <w:rFonts w:ascii="Verdana" w:eastAsia="Times New Roman" w:hAnsi="Verdana" w:cs="Times New Roman"/>
                <w:kern w:val="0"/>
                <w:sz w:val="16"/>
                <w:szCs w:val="16"/>
              </w:rPr>
              <w:t>во, групирани съгласно т.5 от Guidance document “Co-operation” measure (version:November 2014), а именно: разходи за проучв</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ния; разходи за стимулиране на интерес и разширяване на състава на оперативната гр</w:t>
            </w:r>
            <w:r w:rsidRPr="00BF749F">
              <w:rPr>
                <w:rFonts w:ascii="Verdana" w:eastAsia="Times New Roman" w:hAnsi="Verdana" w:cs="Times New Roman"/>
                <w:kern w:val="0"/>
                <w:sz w:val="16"/>
                <w:szCs w:val="16"/>
              </w:rPr>
              <w:t>у</w:t>
            </w:r>
            <w:r w:rsidRPr="00BF749F">
              <w:rPr>
                <w:rFonts w:ascii="Verdana" w:eastAsia="Times New Roman" w:hAnsi="Verdana" w:cs="Times New Roman"/>
                <w:kern w:val="0"/>
                <w:sz w:val="16"/>
                <w:szCs w:val="16"/>
              </w:rPr>
              <w:t>па; текущи разходи във връзка със сътрудничеството.</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t>На базата на гореописания подход, бяха извлечени, ст</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тистически обработени и пре</w:t>
            </w:r>
            <w:r w:rsidRPr="00BF749F">
              <w:rPr>
                <w:rFonts w:ascii="Verdana" w:eastAsia="Times New Roman" w:hAnsi="Verdana" w:cs="Times New Roman"/>
                <w:kern w:val="0"/>
                <w:sz w:val="16"/>
                <w:szCs w:val="16"/>
              </w:rPr>
              <w:t>с</w:t>
            </w:r>
            <w:r w:rsidRPr="00BF749F">
              <w:rPr>
                <w:rFonts w:ascii="Verdana" w:eastAsia="Times New Roman" w:hAnsi="Verdana" w:cs="Times New Roman"/>
                <w:kern w:val="0"/>
                <w:sz w:val="16"/>
                <w:szCs w:val="16"/>
              </w:rPr>
              <w:t>метнати средните стойности на релевантни единични дейности по отделни проекти, които са прилагани по подхода ЛИДЕР по Програмата за развитие на селските райони през програ</w:t>
            </w:r>
            <w:r w:rsidRPr="00BF749F">
              <w:rPr>
                <w:rFonts w:ascii="Verdana" w:eastAsia="Times New Roman" w:hAnsi="Verdana" w:cs="Times New Roman"/>
                <w:kern w:val="0"/>
                <w:sz w:val="16"/>
                <w:szCs w:val="16"/>
              </w:rPr>
              <w:t>м</w:t>
            </w:r>
            <w:r w:rsidRPr="00BF749F">
              <w:rPr>
                <w:rFonts w:ascii="Verdana" w:eastAsia="Times New Roman" w:hAnsi="Verdana" w:cs="Times New Roman"/>
                <w:kern w:val="0"/>
                <w:sz w:val="16"/>
                <w:szCs w:val="16"/>
              </w:rPr>
              <w:t>ния период 2007 – 2013 г. и на тяхна база са предложени стандартни таблица за разх</w:t>
            </w:r>
            <w:r w:rsidRPr="00BF749F">
              <w:rPr>
                <w:rFonts w:ascii="Verdana" w:eastAsia="Times New Roman" w:hAnsi="Verdana" w:cs="Times New Roman"/>
                <w:kern w:val="0"/>
                <w:sz w:val="16"/>
                <w:szCs w:val="16"/>
              </w:rPr>
              <w:t>о</w:t>
            </w:r>
            <w:r w:rsidRPr="00BF749F">
              <w:rPr>
                <w:rFonts w:ascii="Verdana" w:eastAsia="Times New Roman" w:hAnsi="Verdana" w:cs="Times New Roman"/>
                <w:kern w:val="0"/>
                <w:sz w:val="16"/>
                <w:szCs w:val="16"/>
              </w:rPr>
              <w:t>дите за единица продукт.</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t xml:space="preserve">Изчисленията на стандартните разходи са извършени от Съюз на икономистите в България, </w:t>
            </w:r>
            <w:r w:rsidRPr="00BF749F">
              <w:rPr>
                <w:rFonts w:ascii="Verdana" w:eastAsia="Times New Roman" w:hAnsi="Verdana" w:cs="Times New Roman"/>
                <w:kern w:val="0"/>
                <w:sz w:val="16"/>
                <w:szCs w:val="16"/>
              </w:rPr>
              <w:lastRenderedPageBreak/>
              <w:t>който е функционално незав</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сим орган от Министерство на земеделието, храните и горите и Държавен фонд „Земеделие“, съгласно чл.62 , пар.2 от ре</w:t>
            </w:r>
            <w:r w:rsidRPr="00BF749F">
              <w:rPr>
                <w:rFonts w:ascii="Verdana" w:eastAsia="Times New Roman" w:hAnsi="Verdana" w:cs="Times New Roman"/>
                <w:kern w:val="0"/>
                <w:sz w:val="16"/>
                <w:szCs w:val="16"/>
              </w:rPr>
              <w:t>г</w:t>
            </w:r>
            <w:r w:rsidRPr="00BF749F">
              <w:rPr>
                <w:rFonts w:ascii="Verdana" w:eastAsia="Times New Roman" w:hAnsi="Verdana" w:cs="Times New Roman"/>
                <w:kern w:val="0"/>
                <w:sz w:val="16"/>
                <w:szCs w:val="16"/>
              </w:rPr>
              <w:t>ламент 1305/2013.</w:t>
            </w:r>
          </w:p>
        </w:tc>
        <w:tc>
          <w:tcPr>
            <w:tcW w:w="2481" w:type="pct"/>
            <w:shd w:val="clear" w:color="auto" w:fill="auto"/>
          </w:tcPr>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lastRenderedPageBreak/>
              <w:t>Определянето на стойността на разходите за проучв</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ния, разходите за стимулиране на интерес и за текущ</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те разходи във връзка със сътрудничеството за всяка оперативна група ще се базира на стандартни разходи, съгласно чл. 67, параграф 1, буква б) от Регламент (ЕС) № 1303/2013. При определянето на стандартните изчисления за разходите ще се прилагат условията на чл. 67, параграф 5, буква а) от Регламент (ЕС) № 1303/2013.</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За определяне на стандартните изчисления за разходите е използван метода на стандартните таблици на разходите за единица продукт. Опр</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 xml:space="preserve">делянето на стандартните таблици на единичните разходи се основава на пазарни проучвания на цените, които могат да бъдат проверени. </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Подходът на изчисление е пазарен, т.е. използван е метод на сравнителните анализи. При този м</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тод за оценка стойността се определя чрез пряко сравнение на пазарни цени на продукти или усл</w:t>
            </w:r>
            <w:r w:rsidRPr="00BF749F">
              <w:rPr>
                <w:rFonts w:ascii="Verdana" w:eastAsia="Times New Roman" w:hAnsi="Verdana" w:cs="Times New Roman"/>
                <w:b/>
                <w:color w:val="FF0000"/>
                <w:kern w:val="0"/>
                <w:sz w:val="16"/>
                <w:szCs w:val="16"/>
                <w:u w:val="single"/>
              </w:rPr>
              <w:t>у</w:t>
            </w:r>
            <w:r w:rsidRPr="00BF749F">
              <w:rPr>
                <w:rFonts w:ascii="Verdana" w:eastAsia="Times New Roman" w:hAnsi="Verdana" w:cs="Times New Roman"/>
                <w:b/>
                <w:color w:val="FF0000"/>
                <w:kern w:val="0"/>
                <w:sz w:val="16"/>
                <w:szCs w:val="16"/>
                <w:u w:val="single"/>
              </w:rPr>
              <w:t>ги със сходни характеристики, към определен момент. Методологията, използвана за обработка и анализ на получената информация, както и и</w:t>
            </w:r>
            <w:r w:rsidRPr="00BF749F">
              <w:rPr>
                <w:rFonts w:ascii="Verdana" w:eastAsia="Times New Roman" w:hAnsi="Verdana" w:cs="Times New Roman"/>
                <w:b/>
                <w:color w:val="FF0000"/>
                <w:kern w:val="0"/>
                <w:sz w:val="16"/>
                <w:szCs w:val="16"/>
                <w:u w:val="single"/>
              </w:rPr>
              <w:t>з</w:t>
            </w:r>
            <w:r w:rsidRPr="00BF749F">
              <w:rPr>
                <w:rFonts w:ascii="Verdana" w:eastAsia="Times New Roman" w:hAnsi="Verdana" w:cs="Times New Roman"/>
                <w:b/>
                <w:color w:val="FF0000"/>
                <w:kern w:val="0"/>
                <w:sz w:val="16"/>
                <w:szCs w:val="16"/>
                <w:u w:val="single"/>
              </w:rPr>
              <w:t>веждане и тестване на индикативни нива на о</w:t>
            </w:r>
            <w:r w:rsidRPr="00BF749F">
              <w:rPr>
                <w:rFonts w:ascii="Verdana" w:eastAsia="Times New Roman" w:hAnsi="Verdana" w:cs="Times New Roman"/>
                <w:b/>
                <w:color w:val="FF0000"/>
                <w:kern w:val="0"/>
                <w:sz w:val="16"/>
                <w:szCs w:val="16"/>
                <w:u w:val="single"/>
              </w:rPr>
              <w:t>п</w:t>
            </w:r>
            <w:r w:rsidRPr="00BF749F">
              <w:rPr>
                <w:rFonts w:ascii="Verdana" w:eastAsia="Times New Roman" w:hAnsi="Verdana" w:cs="Times New Roman"/>
                <w:b/>
                <w:color w:val="FF0000"/>
                <w:kern w:val="0"/>
                <w:sz w:val="16"/>
                <w:szCs w:val="16"/>
                <w:u w:val="single"/>
              </w:rPr>
              <w:t>ростени разходи, по определените видове допу</w:t>
            </w:r>
            <w:r w:rsidRPr="00BF749F">
              <w:rPr>
                <w:rFonts w:ascii="Verdana" w:eastAsia="Times New Roman" w:hAnsi="Verdana" w:cs="Times New Roman"/>
                <w:b/>
                <w:color w:val="FF0000"/>
                <w:kern w:val="0"/>
                <w:sz w:val="16"/>
                <w:szCs w:val="16"/>
                <w:u w:val="single"/>
              </w:rPr>
              <w:t>с</w:t>
            </w:r>
            <w:r w:rsidRPr="00BF749F">
              <w:rPr>
                <w:rFonts w:ascii="Verdana" w:eastAsia="Times New Roman" w:hAnsi="Verdana" w:cs="Times New Roman"/>
                <w:b/>
                <w:color w:val="FF0000"/>
                <w:kern w:val="0"/>
                <w:sz w:val="16"/>
                <w:szCs w:val="16"/>
                <w:u w:val="single"/>
              </w:rPr>
              <w:t>тими разходи е определена на база на изискван</w:t>
            </w:r>
            <w:r w:rsidRPr="00BF749F">
              <w:rPr>
                <w:rFonts w:ascii="Verdana" w:eastAsia="Times New Roman" w:hAnsi="Verdana" w:cs="Times New Roman"/>
                <w:b/>
                <w:color w:val="FF0000"/>
                <w:kern w:val="0"/>
                <w:sz w:val="16"/>
                <w:szCs w:val="16"/>
                <w:u w:val="single"/>
              </w:rPr>
              <w:t>и</w:t>
            </w:r>
            <w:r w:rsidRPr="00BF749F">
              <w:rPr>
                <w:rFonts w:ascii="Verdana" w:eastAsia="Times New Roman" w:hAnsi="Verdana" w:cs="Times New Roman"/>
                <w:b/>
                <w:color w:val="FF0000"/>
                <w:kern w:val="0"/>
                <w:sz w:val="16"/>
                <w:szCs w:val="16"/>
                <w:u w:val="single"/>
              </w:rPr>
              <w:t>ята, дефинирани от ЕК в „Указанията за опрост</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 xml:space="preserve">ните варианти за разходите“. </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За разработването на конкретните стойности на ставките са приложени стандартни методи на ст</w:t>
            </w:r>
            <w:r w:rsidRPr="00BF749F">
              <w:rPr>
                <w:rFonts w:ascii="Verdana" w:eastAsia="Times New Roman" w:hAnsi="Verdana" w:cs="Times New Roman"/>
                <w:b/>
                <w:color w:val="FF0000"/>
                <w:kern w:val="0"/>
                <w:sz w:val="16"/>
                <w:szCs w:val="16"/>
                <w:u w:val="single"/>
              </w:rPr>
              <w:t>а</w:t>
            </w:r>
            <w:r w:rsidRPr="00BF749F">
              <w:rPr>
                <w:rFonts w:ascii="Verdana" w:eastAsia="Times New Roman" w:hAnsi="Verdana" w:cs="Times New Roman"/>
                <w:b/>
                <w:color w:val="FF0000"/>
                <w:kern w:val="0"/>
                <w:sz w:val="16"/>
                <w:szCs w:val="16"/>
                <w:u w:val="single"/>
              </w:rPr>
              <w:t>тистически и финансов анализ, с широко прил</w:t>
            </w:r>
            <w:r w:rsidRPr="00BF749F">
              <w:rPr>
                <w:rFonts w:ascii="Verdana" w:eastAsia="Times New Roman" w:hAnsi="Verdana" w:cs="Times New Roman"/>
                <w:b/>
                <w:color w:val="FF0000"/>
                <w:kern w:val="0"/>
                <w:sz w:val="16"/>
                <w:szCs w:val="16"/>
                <w:u w:val="single"/>
              </w:rPr>
              <w:t>о</w:t>
            </w:r>
            <w:r w:rsidRPr="00BF749F">
              <w:rPr>
                <w:rFonts w:ascii="Verdana" w:eastAsia="Times New Roman" w:hAnsi="Verdana" w:cs="Times New Roman"/>
                <w:b/>
                <w:color w:val="FF0000"/>
                <w:kern w:val="0"/>
                <w:sz w:val="16"/>
                <w:szCs w:val="16"/>
                <w:u w:val="single"/>
              </w:rPr>
              <w:t>жение при икономически и други проучвания. Целта е да се използват общоприети и надеждни методи за анализ, за да се достигне до резултати и заключения, които:</w:t>
            </w:r>
          </w:p>
          <w:p w:rsidR="00BF749F" w:rsidRPr="00BF749F" w:rsidRDefault="00BF749F" w:rsidP="00386C69">
            <w:pPr>
              <w:widowControl/>
              <w:numPr>
                <w:ilvl w:val="0"/>
                <w:numId w:val="43"/>
              </w:numPr>
              <w:suppressAutoHyphens w:val="0"/>
              <w:autoSpaceDN/>
              <w:spacing w:after="0" w:line="240" w:lineRule="auto"/>
              <w:ind w:firstLine="360"/>
              <w:contextualSpacing/>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са проверими и възпроизведими (при нужда със същите, разширени или нови данни);</w:t>
            </w:r>
          </w:p>
          <w:p w:rsidR="00BF749F" w:rsidRPr="00BF749F" w:rsidRDefault="00BF749F" w:rsidP="00386C69">
            <w:pPr>
              <w:widowControl/>
              <w:numPr>
                <w:ilvl w:val="0"/>
                <w:numId w:val="43"/>
              </w:numPr>
              <w:suppressAutoHyphens w:val="0"/>
              <w:autoSpaceDN/>
              <w:spacing w:after="0" w:line="240" w:lineRule="auto"/>
              <w:ind w:firstLine="360"/>
              <w:contextualSpacing/>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са съобразени с практиката за разработване на опростени разходи и в други страни-членки за анализ и изве</w:t>
            </w:r>
            <w:r w:rsidRPr="00BF749F">
              <w:rPr>
                <w:rFonts w:ascii="Verdana" w:eastAsia="Times New Roman" w:hAnsi="Verdana" w:cs="Times New Roman"/>
                <w:b/>
                <w:color w:val="FF0000"/>
                <w:kern w:val="0"/>
                <w:sz w:val="16"/>
                <w:szCs w:val="16"/>
                <w:u w:val="single"/>
              </w:rPr>
              <w:t>ж</w:t>
            </w:r>
            <w:r w:rsidRPr="00BF749F">
              <w:rPr>
                <w:rFonts w:ascii="Verdana" w:eastAsia="Times New Roman" w:hAnsi="Verdana" w:cs="Times New Roman"/>
                <w:b/>
                <w:color w:val="FF0000"/>
                <w:kern w:val="0"/>
                <w:sz w:val="16"/>
                <w:szCs w:val="16"/>
                <w:u w:val="single"/>
              </w:rPr>
              <w:t xml:space="preserve">дане на опростени разходи (насоките за разработване на опростени разходи са предложни за използване от 23 страни членки на ЕС за периода 2014-2020 г.); </w:t>
            </w:r>
          </w:p>
          <w:p w:rsidR="00BF749F" w:rsidRPr="00BF749F" w:rsidRDefault="00BF749F" w:rsidP="00386C69">
            <w:pPr>
              <w:widowControl/>
              <w:numPr>
                <w:ilvl w:val="0"/>
                <w:numId w:val="43"/>
              </w:numPr>
              <w:suppressAutoHyphens w:val="0"/>
              <w:autoSpaceDN/>
              <w:spacing w:after="0" w:line="240" w:lineRule="auto"/>
              <w:ind w:firstLine="360"/>
              <w:contextualSpacing/>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имат добро покритие на наблюд</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ния;</w:t>
            </w:r>
          </w:p>
          <w:p w:rsidR="00BF749F" w:rsidRPr="00BF749F" w:rsidRDefault="00BF749F" w:rsidP="00386C69">
            <w:pPr>
              <w:widowControl/>
              <w:numPr>
                <w:ilvl w:val="0"/>
                <w:numId w:val="43"/>
              </w:numPr>
              <w:suppressAutoHyphens w:val="0"/>
              <w:autoSpaceDN/>
              <w:spacing w:after="0" w:line="240" w:lineRule="auto"/>
              <w:ind w:firstLine="360"/>
              <w:contextualSpacing/>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са подкрепени и от пазарните у</w:t>
            </w:r>
            <w:r w:rsidRPr="00BF749F">
              <w:rPr>
                <w:rFonts w:ascii="Verdana" w:eastAsia="Times New Roman" w:hAnsi="Verdana" w:cs="Times New Roman"/>
                <w:b/>
                <w:color w:val="FF0000"/>
                <w:kern w:val="0"/>
                <w:sz w:val="16"/>
                <w:szCs w:val="16"/>
                <w:u w:val="single"/>
              </w:rPr>
              <w:t>с</w:t>
            </w:r>
            <w:r w:rsidRPr="00BF749F">
              <w:rPr>
                <w:rFonts w:ascii="Verdana" w:eastAsia="Times New Roman" w:hAnsi="Verdana" w:cs="Times New Roman"/>
                <w:b/>
                <w:color w:val="FF0000"/>
                <w:kern w:val="0"/>
                <w:sz w:val="16"/>
                <w:szCs w:val="16"/>
                <w:u w:val="single"/>
              </w:rPr>
              <w:t>ловия в страната.</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Изчисленията на стандартните разходи са извъ</w:t>
            </w:r>
            <w:r w:rsidRPr="00BF749F">
              <w:rPr>
                <w:rFonts w:ascii="Verdana" w:eastAsia="Times New Roman" w:hAnsi="Verdana" w:cs="Times New Roman"/>
                <w:b/>
                <w:color w:val="FF0000"/>
                <w:kern w:val="0"/>
                <w:sz w:val="16"/>
                <w:szCs w:val="16"/>
                <w:u w:val="single"/>
              </w:rPr>
              <w:t>р</w:t>
            </w:r>
            <w:r w:rsidRPr="00BF749F">
              <w:rPr>
                <w:rFonts w:ascii="Verdana" w:eastAsia="Times New Roman" w:hAnsi="Verdana" w:cs="Times New Roman"/>
                <w:b/>
                <w:color w:val="FF0000"/>
                <w:kern w:val="0"/>
                <w:sz w:val="16"/>
                <w:szCs w:val="16"/>
                <w:u w:val="single"/>
              </w:rPr>
              <w:t>шени от екип на Университета за национално и световно стопанство (УНСС), който е функци</w:t>
            </w:r>
            <w:r w:rsidRPr="00BF749F">
              <w:rPr>
                <w:rFonts w:ascii="Verdana" w:eastAsia="Times New Roman" w:hAnsi="Verdana" w:cs="Times New Roman"/>
                <w:b/>
                <w:color w:val="FF0000"/>
                <w:kern w:val="0"/>
                <w:sz w:val="16"/>
                <w:szCs w:val="16"/>
                <w:u w:val="single"/>
              </w:rPr>
              <w:t>о</w:t>
            </w:r>
            <w:r w:rsidRPr="00BF749F">
              <w:rPr>
                <w:rFonts w:ascii="Verdana" w:eastAsia="Times New Roman" w:hAnsi="Verdana" w:cs="Times New Roman"/>
                <w:b/>
                <w:color w:val="FF0000"/>
                <w:kern w:val="0"/>
                <w:sz w:val="16"/>
                <w:szCs w:val="16"/>
                <w:u w:val="single"/>
              </w:rPr>
              <w:t>нално независим орган от Министерство на зем</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делието, храните и горите и Държавен фонд „З</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меделие“, съгласно чл. 62, пар. 2 от Регламент 1305/2013.</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strike/>
                <w:kern w:val="0"/>
                <w:sz w:val="16"/>
                <w:szCs w:val="16"/>
              </w:rPr>
            </w:pPr>
            <w:r w:rsidRPr="00BF749F">
              <w:rPr>
                <w:rFonts w:ascii="Verdana" w:eastAsia="Times New Roman" w:hAnsi="Verdana" w:cs="Times New Roman"/>
                <w:strike/>
                <w:kern w:val="0"/>
                <w:sz w:val="16"/>
                <w:szCs w:val="16"/>
              </w:rPr>
              <w:t>Стандартните разходи по подмярка 16.1. са изчислени по методика, при която е  допуснато, че ще има три вида разходи, които произтичат от акта на сътрудн</w:t>
            </w:r>
            <w:r w:rsidRPr="00BF749F">
              <w:rPr>
                <w:rFonts w:ascii="Verdana" w:eastAsia="Times New Roman" w:hAnsi="Verdana" w:cs="Times New Roman"/>
                <w:strike/>
                <w:kern w:val="0"/>
                <w:sz w:val="16"/>
                <w:szCs w:val="16"/>
              </w:rPr>
              <w:t>и</w:t>
            </w:r>
            <w:r w:rsidRPr="00BF749F">
              <w:rPr>
                <w:rFonts w:ascii="Verdana" w:eastAsia="Times New Roman" w:hAnsi="Verdana" w:cs="Times New Roman"/>
                <w:strike/>
                <w:kern w:val="0"/>
                <w:sz w:val="16"/>
                <w:szCs w:val="16"/>
              </w:rPr>
              <w:t>чеството и организацията на изпълнението на инов</w:t>
            </w:r>
            <w:r w:rsidRPr="00BF749F">
              <w:rPr>
                <w:rFonts w:ascii="Verdana" w:eastAsia="Times New Roman" w:hAnsi="Verdana" w:cs="Times New Roman"/>
                <w:strike/>
                <w:kern w:val="0"/>
                <w:sz w:val="16"/>
                <w:szCs w:val="16"/>
              </w:rPr>
              <w:t>а</w:t>
            </w:r>
            <w:r w:rsidRPr="00BF749F">
              <w:rPr>
                <w:rFonts w:ascii="Verdana" w:eastAsia="Times New Roman" w:hAnsi="Verdana" w:cs="Times New Roman"/>
                <w:strike/>
                <w:kern w:val="0"/>
                <w:sz w:val="16"/>
                <w:szCs w:val="16"/>
              </w:rPr>
              <w:t>тивния проект на оперативните групи. Определянето на вида на опростените разходи за сформиране и фу</w:t>
            </w:r>
            <w:r w:rsidRPr="00BF749F">
              <w:rPr>
                <w:rFonts w:ascii="Verdana" w:eastAsia="Times New Roman" w:hAnsi="Verdana" w:cs="Times New Roman"/>
                <w:strike/>
                <w:kern w:val="0"/>
                <w:sz w:val="16"/>
                <w:szCs w:val="16"/>
              </w:rPr>
              <w:t>н</w:t>
            </w:r>
            <w:r w:rsidRPr="00BF749F">
              <w:rPr>
                <w:rFonts w:ascii="Verdana" w:eastAsia="Times New Roman" w:hAnsi="Verdana" w:cs="Times New Roman"/>
                <w:strike/>
                <w:kern w:val="0"/>
                <w:sz w:val="16"/>
                <w:szCs w:val="16"/>
              </w:rPr>
              <w:t>кциониране на ОП на ЕПИ и методиката за извършване на изчисленията се базира на използването на метод</w:t>
            </w:r>
            <w:r w:rsidRPr="00BF749F">
              <w:rPr>
                <w:rFonts w:ascii="Verdana" w:eastAsia="Times New Roman" w:hAnsi="Verdana" w:cs="Times New Roman"/>
                <w:strike/>
                <w:kern w:val="0"/>
                <w:sz w:val="16"/>
                <w:szCs w:val="16"/>
              </w:rPr>
              <w:t>и</w:t>
            </w:r>
            <w:r w:rsidRPr="00BF749F">
              <w:rPr>
                <w:rFonts w:ascii="Verdana" w:eastAsia="Times New Roman" w:hAnsi="Verdana" w:cs="Times New Roman"/>
                <w:strike/>
                <w:kern w:val="0"/>
                <w:sz w:val="16"/>
                <w:szCs w:val="16"/>
              </w:rPr>
              <w:t>те на статистическия анализ и по-точно на технологи</w:t>
            </w:r>
            <w:r w:rsidRPr="00BF749F">
              <w:rPr>
                <w:rFonts w:ascii="Verdana" w:eastAsia="Times New Roman" w:hAnsi="Verdana" w:cs="Times New Roman"/>
                <w:strike/>
                <w:kern w:val="0"/>
                <w:sz w:val="16"/>
                <w:szCs w:val="16"/>
              </w:rPr>
              <w:t>я</w:t>
            </w:r>
            <w:r w:rsidRPr="00BF749F">
              <w:rPr>
                <w:rFonts w:ascii="Verdana" w:eastAsia="Times New Roman" w:hAnsi="Verdana" w:cs="Times New Roman"/>
                <w:strike/>
                <w:kern w:val="0"/>
                <w:sz w:val="16"/>
                <w:szCs w:val="16"/>
              </w:rPr>
              <w:t>та „Извличане на знания от данни“ (Data mining) като процес на откриване на смислени корелации, завис</w:t>
            </w:r>
            <w:r w:rsidRPr="00BF749F">
              <w:rPr>
                <w:rFonts w:ascii="Verdana" w:eastAsia="Times New Roman" w:hAnsi="Verdana" w:cs="Times New Roman"/>
                <w:strike/>
                <w:kern w:val="0"/>
                <w:sz w:val="16"/>
                <w:szCs w:val="16"/>
              </w:rPr>
              <w:t>и</w:t>
            </w:r>
            <w:r w:rsidRPr="00BF749F">
              <w:rPr>
                <w:rFonts w:ascii="Verdana" w:eastAsia="Times New Roman" w:hAnsi="Verdana" w:cs="Times New Roman"/>
                <w:strike/>
                <w:kern w:val="0"/>
                <w:sz w:val="16"/>
                <w:szCs w:val="16"/>
              </w:rPr>
              <w:t>мости, повтарящи се образци и тенденции в големи масиви от данни. Този вид извличане на данни посре</w:t>
            </w:r>
            <w:r w:rsidRPr="00BF749F">
              <w:rPr>
                <w:rFonts w:ascii="Verdana" w:eastAsia="Times New Roman" w:hAnsi="Verdana" w:cs="Times New Roman"/>
                <w:strike/>
                <w:kern w:val="0"/>
                <w:sz w:val="16"/>
                <w:szCs w:val="16"/>
              </w:rPr>
              <w:t>д</w:t>
            </w:r>
            <w:r w:rsidRPr="00BF749F">
              <w:rPr>
                <w:rFonts w:ascii="Verdana" w:eastAsia="Times New Roman" w:hAnsi="Verdana" w:cs="Times New Roman"/>
                <w:strike/>
                <w:kern w:val="0"/>
                <w:sz w:val="16"/>
                <w:szCs w:val="16"/>
              </w:rPr>
              <w:t>ством предварително формулирани заявки към базите данни събрани от предишни периоди, генерира импл</w:t>
            </w:r>
            <w:r w:rsidRPr="00BF749F">
              <w:rPr>
                <w:rFonts w:ascii="Verdana" w:eastAsia="Times New Roman" w:hAnsi="Verdana" w:cs="Times New Roman"/>
                <w:strike/>
                <w:kern w:val="0"/>
                <w:sz w:val="16"/>
                <w:szCs w:val="16"/>
              </w:rPr>
              <w:t>и</w:t>
            </w:r>
            <w:r w:rsidRPr="00BF749F">
              <w:rPr>
                <w:rFonts w:ascii="Verdana" w:eastAsia="Times New Roman" w:hAnsi="Verdana" w:cs="Times New Roman"/>
                <w:strike/>
                <w:kern w:val="0"/>
                <w:sz w:val="16"/>
                <w:szCs w:val="16"/>
              </w:rPr>
              <w:t>цитно формулиране на не очевидна, предварително известна и полезна информация за използване на д</w:t>
            </w:r>
            <w:r w:rsidRPr="00BF749F">
              <w:rPr>
                <w:rFonts w:ascii="Verdana" w:eastAsia="Times New Roman" w:hAnsi="Verdana" w:cs="Times New Roman"/>
                <w:strike/>
                <w:kern w:val="0"/>
                <w:sz w:val="16"/>
                <w:szCs w:val="16"/>
              </w:rPr>
              <w:t>о</w:t>
            </w:r>
            <w:r w:rsidRPr="00BF749F">
              <w:rPr>
                <w:rFonts w:ascii="Verdana" w:eastAsia="Times New Roman" w:hAnsi="Verdana" w:cs="Times New Roman"/>
                <w:strike/>
                <w:kern w:val="0"/>
                <w:sz w:val="16"/>
                <w:szCs w:val="16"/>
              </w:rPr>
              <w:t>пустими, одобрени, прозрачно и точно направени ра</w:t>
            </w:r>
            <w:r w:rsidRPr="00BF749F">
              <w:rPr>
                <w:rFonts w:ascii="Verdana" w:eastAsia="Times New Roman" w:hAnsi="Verdana" w:cs="Times New Roman"/>
                <w:strike/>
                <w:kern w:val="0"/>
                <w:sz w:val="16"/>
                <w:szCs w:val="16"/>
              </w:rPr>
              <w:t>з</w:t>
            </w:r>
            <w:r w:rsidRPr="00BF749F">
              <w:rPr>
                <w:rFonts w:ascii="Verdana" w:eastAsia="Times New Roman" w:hAnsi="Verdana" w:cs="Times New Roman"/>
                <w:strike/>
                <w:kern w:val="0"/>
                <w:sz w:val="16"/>
                <w:szCs w:val="16"/>
              </w:rPr>
              <w:t xml:space="preserve">ходи в минали периода за оценка на бъдещите такива. Предложени са три вида разходи, произтичащи от акта на сътрудничество, групирани съгласно т.5 от Guidance document “Co-operation” measure (version:November 2014), а именно: разходи за проучвания; разходи за </w:t>
            </w:r>
            <w:r w:rsidRPr="00BF749F">
              <w:rPr>
                <w:rFonts w:ascii="Verdana" w:eastAsia="Times New Roman" w:hAnsi="Verdana" w:cs="Times New Roman"/>
                <w:strike/>
                <w:kern w:val="0"/>
                <w:sz w:val="16"/>
                <w:szCs w:val="16"/>
              </w:rPr>
              <w:lastRenderedPageBreak/>
              <w:t>стимулиране на интерес и разширяване на състава на оперативната група; текущи разходи във връзка със сътрудничеството.</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strike/>
                <w:kern w:val="0"/>
                <w:sz w:val="16"/>
                <w:szCs w:val="16"/>
              </w:rPr>
            </w:pPr>
            <w:r w:rsidRPr="00BF749F">
              <w:rPr>
                <w:rFonts w:ascii="Verdana" w:eastAsia="Times New Roman" w:hAnsi="Verdana" w:cs="Times New Roman"/>
                <w:strike/>
                <w:kern w:val="0"/>
                <w:sz w:val="16"/>
                <w:szCs w:val="16"/>
              </w:rPr>
              <w:t>На базата на гореописания подход, бяха извлечени, статистически обработени и пресметнати средните стойности на релевантни единични дейности по отде</w:t>
            </w:r>
            <w:r w:rsidRPr="00BF749F">
              <w:rPr>
                <w:rFonts w:ascii="Verdana" w:eastAsia="Times New Roman" w:hAnsi="Verdana" w:cs="Times New Roman"/>
                <w:strike/>
                <w:kern w:val="0"/>
                <w:sz w:val="16"/>
                <w:szCs w:val="16"/>
              </w:rPr>
              <w:t>л</w:t>
            </w:r>
            <w:r w:rsidRPr="00BF749F">
              <w:rPr>
                <w:rFonts w:ascii="Verdana" w:eastAsia="Times New Roman" w:hAnsi="Verdana" w:cs="Times New Roman"/>
                <w:strike/>
                <w:kern w:val="0"/>
                <w:sz w:val="16"/>
                <w:szCs w:val="16"/>
              </w:rPr>
              <w:t>ни проекти, които са прилагани по подхода ЛИДЕР по Програмата за развитие на селските райони през про</w:t>
            </w:r>
            <w:r w:rsidRPr="00BF749F">
              <w:rPr>
                <w:rFonts w:ascii="Verdana" w:eastAsia="Times New Roman" w:hAnsi="Verdana" w:cs="Times New Roman"/>
                <w:strike/>
                <w:kern w:val="0"/>
                <w:sz w:val="16"/>
                <w:szCs w:val="16"/>
              </w:rPr>
              <w:t>г</w:t>
            </w:r>
            <w:r w:rsidRPr="00BF749F">
              <w:rPr>
                <w:rFonts w:ascii="Verdana" w:eastAsia="Times New Roman" w:hAnsi="Verdana" w:cs="Times New Roman"/>
                <w:strike/>
                <w:kern w:val="0"/>
                <w:sz w:val="16"/>
                <w:szCs w:val="16"/>
              </w:rPr>
              <w:t>рамния период 2007 – 2013 г. и на тяхна база са пре</w:t>
            </w:r>
            <w:r w:rsidRPr="00BF749F">
              <w:rPr>
                <w:rFonts w:ascii="Verdana" w:eastAsia="Times New Roman" w:hAnsi="Verdana" w:cs="Times New Roman"/>
                <w:strike/>
                <w:kern w:val="0"/>
                <w:sz w:val="16"/>
                <w:szCs w:val="16"/>
              </w:rPr>
              <w:t>д</w:t>
            </w:r>
            <w:r w:rsidRPr="00BF749F">
              <w:rPr>
                <w:rFonts w:ascii="Verdana" w:eastAsia="Times New Roman" w:hAnsi="Verdana" w:cs="Times New Roman"/>
                <w:strike/>
                <w:kern w:val="0"/>
                <w:sz w:val="16"/>
                <w:szCs w:val="16"/>
              </w:rPr>
              <w:t>ложени стандартни таблица за разходите за единица продукт.</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strike/>
                <w:kern w:val="0"/>
                <w:sz w:val="16"/>
                <w:szCs w:val="16"/>
              </w:rPr>
              <w:t>Изчисленията на стандартните разходи са извършени от Съюз на икономистите в България, който е функци</w:t>
            </w:r>
            <w:r w:rsidRPr="00BF749F">
              <w:rPr>
                <w:rFonts w:ascii="Verdana" w:eastAsia="Times New Roman" w:hAnsi="Verdana" w:cs="Times New Roman"/>
                <w:strike/>
                <w:kern w:val="0"/>
                <w:sz w:val="16"/>
                <w:szCs w:val="16"/>
              </w:rPr>
              <w:t>о</w:t>
            </w:r>
            <w:r w:rsidRPr="00BF749F">
              <w:rPr>
                <w:rFonts w:ascii="Verdana" w:eastAsia="Times New Roman" w:hAnsi="Verdana" w:cs="Times New Roman"/>
                <w:strike/>
                <w:kern w:val="0"/>
                <w:sz w:val="16"/>
                <w:szCs w:val="16"/>
              </w:rPr>
              <w:t>нално независим орган от Министерство на земедели</w:t>
            </w:r>
            <w:r w:rsidRPr="00BF749F">
              <w:rPr>
                <w:rFonts w:ascii="Verdana" w:eastAsia="Times New Roman" w:hAnsi="Verdana" w:cs="Times New Roman"/>
                <w:strike/>
                <w:kern w:val="0"/>
                <w:sz w:val="16"/>
                <w:szCs w:val="16"/>
              </w:rPr>
              <w:t>е</w:t>
            </w:r>
            <w:r w:rsidRPr="00BF749F">
              <w:rPr>
                <w:rFonts w:ascii="Verdana" w:eastAsia="Times New Roman" w:hAnsi="Verdana" w:cs="Times New Roman"/>
                <w:strike/>
                <w:kern w:val="0"/>
                <w:sz w:val="16"/>
                <w:szCs w:val="16"/>
              </w:rPr>
              <w:t>то, храните и горите и Държавен фонд „Земеделие“, съгласно чл.62 , пар.2 от регламент 1305/2013.</w:t>
            </w:r>
          </w:p>
        </w:tc>
      </w:tr>
      <w:tr w:rsidR="00BF749F" w:rsidRPr="00BF749F" w:rsidTr="00BF749F">
        <w:trPr>
          <w:trHeight w:val="223"/>
        </w:trPr>
        <w:tc>
          <w:tcPr>
            <w:tcW w:w="228" w:type="pct"/>
            <w:shd w:val="clear" w:color="auto" w:fill="BFBFBF" w:themeFill="background1" w:themeFillShade="BF"/>
            <w:vAlign w:val="center"/>
          </w:tcPr>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p>
        </w:tc>
        <w:tc>
          <w:tcPr>
            <w:tcW w:w="841" w:type="pct"/>
            <w:shd w:val="clear" w:color="auto" w:fill="BFBFBF" w:themeFill="background1" w:themeFillShade="BF"/>
            <w:vAlign w:val="center"/>
          </w:tcPr>
          <w:p w:rsidR="00BF749F" w:rsidRPr="00BF749F" w:rsidRDefault="00BF749F" w:rsidP="00BF749F">
            <w:pPr>
              <w:widowControl/>
              <w:suppressAutoHyphens w:val="0"/>
              <w:autoSpaceDN/>
              <w:spacing w:after="0" w:line="240" w:lineRule="auto"/>
              <w:jc w:val="center"/>
              <w:textAlignment w:val="auto"/>
              <w:rPr>
                <w:rFonts w:ascii="Verdana" w:eastAsia="Times New Roman" w:hAnsi="Verdana" w:cs="Times New Roman"/>
                <w:b/>
                <w:kern w:val="0"/>
                <w:sz w:val="16"/>
                <w:szCs w:val="16"/>
              </w:rPr>
            </w:pPr>
            <w:r w:rsidRPr="00BF749F">
              <w:rPr>
                <w:rFonts w:ascii="Verdana" w:eastAsia="Times New Roman" w:hAnsi="Verdana" w:cs="Times New Roman"/>
                <w:b/>
                <w:kern w:val="0"/>
                <w:sz w:val="16"/>
                <w:szCs w:val="16"/>
              </w:rPr>
              <w:t>Мярка 16 „Съ</w:t>
            </w:r>
            <w:r w:rsidRPr="00BF749F">
              <w:rPr>
                <w:rFonts w:ascii="Verdana" w:eastAsia="Times New Roman" w:hAnsi="Verdana" w:cs="Times New Roman"/>
                <w:b/>
                <w:kern w:val="0"/>
                <w:sz w:val="16"/>
                <w:szCs w:val="16"/>
              </w:rPr>
              <w:t>г</w:t>
            </w:r>
            <w:r w:rsidRPr="00BF749F">
              <w:rPr>
                <w:rFonts w:ascii="Verdana" w:eastAsia="Times New Roman" w:hAnsi="Verdana" w:cs="Times New Roman"/>
                <w:b/>
                <w:kern w:val="0"/>
                <w:sz w:val="16"/>
                <w:szCs w:val="16"/>
              </w:rPr>
              <w:t>рудничество“, подмярка 16.4. Подкрепа за хоризонтално и вертикално сътрудничес</w:t>
            </w:r>
            <w:r w:rsidRPr="00BF749F">
              <w:rPr>
                <w:rFonts w:ascii="Verdana" w:eastAsia="Times New Roman" w:hAnsi="Verdana" w:cs="Times New Roman"/>
                <w:b/>
                <w:kern w:val="0"/>
                <w:sz w:val="16"/>
                <w:szCs w:val="16"/>
              </w:rPr>
              <w:t>т</w:t>
            </w:r>
            <w:r w:rsidRPr="00BF749F">
              <w:rPr>
                <w:rFonts w:ascii="Verdana" w:eastAsia="Times New Roman" w:hAnsi="Verdana" w:cs="Times New Roman"/>
                <w:b/>
                <w:kern w:val="0"/>
                <w:sz w:val="16"/>
                <w:szCs w:val="16"/>
              </w:rPr>
              <w:t>во между уча</w:t>
            </w:r>
            <w:r w:rsidRPr="00BF749F">
              <w:rPr>
                <w:rFonts w:ascii="Verdana" w:eastAsia="Times New Roman" w:hAnsi="Verdana" w:cs="Times New Roman"/>
                <w:b/>
                <w:kern w:val="0"/>
                <w:sz w:val="16"/>
                <w:szCs w:val="16"/>
              </w:rPr>
              <w:t>с</w:t>
            </w:r>
            <w:r w:rsidRPr="00BF749F">
              <w:rPr>
                <w:rFonts w:ascii="Verdana" w:eastAsia="Times New Roman" w:hAnsi="Verdana" w:cs="Times New Roman"/>
                <w:b/>
                <w:kern w:val="0"/>
                <w:sz w:val="16"/>
                <w:szCs w:val="16"/>
              </w:rPr>
              <w:t>тниците във веригата на доставки.</w:t>
            </w:r>
          </w:p>
        </w:tc>
        <w:tc>
          <w:tcPr>
            <w:tcW w:w="1450" w:type="pct"/>
            <w:shd w:val="clear" w:color="auto" w:fill="BFBFBF" w:themeFill="background1" w:themeFillShade="BF"/>
            <w:vAlign w:val="center"/>
          </w:tcPr>
          <w:p w:rsidR="00BF749F" w:rsidRPr="00BF749F" w:rsidRDefault="00BF749F" w:rsidP="00BF749F">
            <w:pPr>
              <w:widowControl/>
              <w:suppressAutoHyphens w:val="0"/>
              <w:autoSpaceDN/>
              <w:spacing w:after="0" w:line="240" w:lineRule="auto"/>
              <w:jc w:val="center"/>
              <w:textAlignment w:val="auto"/>
              <w:rPr>
                <w:rFonts w:ascii="Verdana" w:eastAsia="Times New Roman" w:hAnsi="Verdana" w:cs="Times New Roman"/>
                <w:b/>
                <w:kern w:val="0"/>
                <w:sz w:val="16"/>
                <w:szCs w:val="16"/>
              </w:rPr>
            </w:pPr>
            <w:r w:rsidRPr="00BF749F">
              <w:rPr>
                <w:rFonts w:ascii="Verdana" w:eastAsia="Times New Roman" w:hAnsi="Verdana" w:cs="Times New Roman"/>
                <w:b/>
                <w:kern w:val="0"/>
                <w:sz w:val="16"/>
                <w:szCs w:val="16"/>
              </w:rPr>
              <w:t>Настоящ текст на подмярка 16 в ПРСР</w:t>
            </w:r>
          </w:p>
        </w:tc>
        <w:tc>
          <w:tcPr>
            <w:tcW w:w="2481" w:type="pct"/>
            <w:shd w:val="clear" w:color="auto" w:fill="BFBFBF" w:themeFill="background1" w:themeFillShade="BF"/>
            <w:vAlign w:val="center"/>
          </w:tcPr>
          <w:p w:rsidR="00BF749F" w:rsidRPr="00BF749F" w:rsidRDefault="00BF749F" w:rsidP="00BF749F">
            <w:pPr>
              <w:widowControl/>
              <w:suppressAutoHyphens w:val="0"/>
              <w:autoSpaceDN/>
              <w:spacing w:after="0" w:line="240" w:lineRule="auto"/>
              <w:jc w:val="center"/>
              <w:textAlignment w:val="auto"/>
              <w:rPr>
                <w:rFonts w:ascii="Verdana" w:eastAsia="Times New Roman" w:hAnsi="Verdana" w:cs="Times New Roman"/>
                <w:b/>
                <w:kern w:val="0"/>
                <w:sz w:val="16"/>
                <w:szCs w:val="16"/>
              </w:rPr>
            </w:pPr>
            <w:r w:rsidRPr="00BF749F">
              <w:rPr>
                <w:rFonts w:ascii="Verdana" w:eastAsia="Times New Roman" w:hAnsi="Verdana" w:cs="Times New Roman"/>
                <w:b/>
                <w:kern w:val="0"/>
                <w:sz w:val="16"/>
                <w:szCs w:val="16"/>
              </w:rPr>
              <w:t>Предложение за нов текст в подмярка 16 от ПРСР</w:t>
            </w:r>
          </w:p>
        </w:tc>
      </w:tr>
      <w:tr w:rsidR="00BF749F" w:rsidRPr="00BF749F" w:rsidTr="00BF749F">
        <w:trPr>
          <w:trHeight w:val="223"/>
        </w:trPr>
        <w:tc>
          <w:tcPr>
            <w:tcW w:w="228" w:type="pct"/>
            <w:shd w:val="clear" w:color="auto" w:fill="FFFFFF" w:themeFill="background1"/>
            <w:vAlign w:val="center"/>
          </w:tcPr>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t>3</w:t>
            </w:r>
          </w:p>
        </w:tc>
        <w:tc>
          <w:tcPr>
            <w:tcW w:w="841" w:type="pct"/>
            <w:shd w:val="clear" w:color="auto" w:fill="FFFFFF" w:themeFill="background1"/>
            <w:vAlign w:val="center"/>
          </w:tcPr>
          <w:p w:rsidR="00BF749F" w:rsidRPr="00BF749F" w:rsidRDefault="00BF749F" w:rsidP="00BF749F">
            <w:pPr>
              <w:widowControl/>
              <w:suppressAutoHyphens w:val="0"/>
              <w:autoSpaceDN/>
              <w:spacing w:after="0" w:line="240" w:lineRule="auto"/>
              <w:jc w:val="center"/>
              <w:textAlignment w:val="auto"/>
              <w:rPr>
                <w:rFonts w:ascii="Verdana" w:eastAsia="Times New Roman" w:hAnsi="Verdana" w:cs="Times New Roman"/>
                <w:b/>
                <w:kern w:val="0"/>
                <w:sz w:val="16"/>
                <w:szCs w:val="16"/>
              </w:rPr>
            </w:pPr>
            <w:r w:rsidRPr="00BF749F">
              <w:rPr>
                <w:rFonts w:ascii="Verdana" w:eastAsia="Times New Roman" w:hAnsi="Verdana" w:cs="Times New Roman"/>
                <w:b/>
                <w:kern w:val="0"/>
                <w:sz w:val="16"/>
                <w:szCs w:val="16"/>
              </w:rPr>
              <w:t>Точка 8.2.14.3.3.10. „Методология за изчисляване на размера или процента на подпомагане, когато е умес</w:t>
            </w:r>
            <w:r w:rsidRPr="00BF749F">
              <w:rPr>
                <w:rFonts w:ascii="Verdana" w:eastAsia="Times New Roman" w:hAnsi="Verdana" w:cs="Times New Roman"/>
                <w:b/>
                <w:kern w:val="0"/>
                <w:sz w:val="16"/>
                <w:szCs w:val="16"/>
              </w:rPr>
              <w:t>т</w:t>
            </w:r>
            <w:r w:rsidRPr="00BF749F">
              <w:rPr>
                <w:rFonts w:ascii="Verdana" w:eastAsia="Times New Roman" w:hAnsi="Verdana" w:cs="Times New Roman"/>
                <w:b/>
                <w:kern w:val="0"/>
                <w:sz w:val="16"/>
                <w:szCs w:val="16"/>
              </w:rPr>
              <w:t>но“</w:t>
            </w:r>
          </w:p>
        </w:tc>
        <w:tc>
          <w:tcPr>
            <w:tcW w:w="1450" w:type="pct"/>
            <w:shd w:val="clear" w:color="auto" w:fill="FFFFFF" w:themeFill="background1"/>
            <w:vAlign w:val="center"/>
          </w:tcPr>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t>Определянето на стойността на разходите за проучвания, ра</w:t>
            </w:r>
            <w:r w:rsidRPr="00BF749F">
              <w:rPr>
                <w:rFonts w:ascii="Verdana" w:eastAsia="Times New Roman" w:hAnsi="Verdana" w:cs="Times New Roman"/>
                <w:kern w:val="0"/>
                <w:sz w:val="16"/>
                <w:szCs w:val="16"/>
              </w:rPr>
              <w:t>з</w:t>
            </w:r>
            <w:r w:rsidRPr="00BF749F">
              <w:rPr>
                <w:rFonts w:ascii="Verdana" w:eastAsia="Times New Roman" w:hAnsi="Verdana" w:cs="Times New Roman"/>
                <w:kern w:val="0"/>
                <w:sz w:val="16"/>
                <w:szCs w:val="16"/>
              </w:rPr>
              <w:t>ходите за стимулиране на и</w:t>
            </w:r>
            <w:r w:rsidRPr="00BF749F">
              <w:rPr>
                <w:rFonts w:ascii="Verdana" w:eastAsia="Times New Roman" w:hAnsi="Verdana" w:cs="Times New Roman"/>
                <w:kern w:val="0"/>
                <w:sz w:val="16"/>
                <w:szCs w:val="16"/>
              </w:rPr>
              <w:t>н</w:t>
            </w:r>
            <w:r w:rsidRPr="00BF749F">
              <w:rPr>
                <w:rFonts w:ascii="Verdana" w:eastAsia="Times New Roman" w:hAnsi="Verdana" w:cs="Times New Roman"/>
                <w:kern w:val="0"/>
                <w:sz w:val="16"/>
                <w:szCs w:val="16"/>
              </w:rPr>
              <w:t>терес и за текущите разходи във връзка със сътрудничес</w:t>
            </w:r>
            <w:r w:rsidRPr="00BF749F">
              <w:rPr>
                <w:rFonts w:ascii="Verdana" w:eastAsia="Times New Roman" w:hAnsi="Verdana" w:cs="Times New Roman"/>
                <w:kern w:val="0"/>
                <w:sz w:val="16"/>
                <w:szCs w:val="16"/>
              </w:rPr>
              <w:t>т</w:t>
            </w:r>
            <w:r w:rsidRPr="00BF749F">
              <w:rPr>
                <w:rFonts w:ascii="Verdana" w:eastAsia="Times New Roman" w:hAnsi="Verdana" w:cs="Times New Roman"/>
                <w:kern w:val="0"/>
                <w:sz w:val="16"/>
                <w:szCs w:val="16"/>
              </w:rPr>
              <w:t>вото за всяка оперативна група ще се базира на стандартни разходи, съгласно чл. 67, п</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раграф 1, буква б) от Регл</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мент (ЕС) № 1303/2013. При определянето на стандартните изчисления за разходите ще се прилагат условията на чл. 67, параграф 5, буква а) от Регл</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мент (ЕС) № 1303/2013.</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t>Стандартните разходи по по</w:t>
            </w:r>
            <w:r w:rsidRPr="00BF749F">
              <w:rPr>
                <w:rFonts w:ascii="Verdana" w:eastAsia="Times New Roman" w:hAnsi="Verdana" w:cs="Times New Roman"/>
                <w:kern w:val="0"/>
                <w:sz w:val="16"/>
                <w:szCs w:val="16"/>
              </w:rPr>
              <w:t>д</w:t>
            </w:r>
            <w:r w:rsidRPr="00BF749F">
              <w:rPr>
                <w:rFonts w:ascii="Verdana" w:eastAsia="Times New Roman" w:hAnsi="Verdana" w:cs="Times New Roman"/>
                <w:kern w:val="0"/>
                <w:sz w:val="16"/>
                <w:szCs w:val="16"/>
              </w:rPr>
              <w:t>мярка 16.4. са изчислени по методика, при която е  допу</w:t>
            </w:r>
            <w:r w:rsidRPr="00BF749F">
              <w:rPr>
                <w:rFonts w:ascii="Verdana" w:eastAsia="Times New Roman" w:hAnsi="Verdana" w:cs="Times New Roman"/>
                <w:kern w:val="0"/>
                <w:sz w:val="16"/>
                <w:szCs w:val="16"/>
              </w:rPr>
              <w:t>с</w:t>
            </w:r>
            <w:r w:rsidRPr="00BF749F">
              <w:rPr>
                <w:rFonts w:ascii="Verdana" w:eastAsia="Times New Roman" w:hAnsi="Verdana" w:cs="Times New Roman"/>
                <w:kern w:val="0"/>
                <w:sz w:val="16"/>
                <w:szCs w:val="16"/>
              </w:rPr>
              <w:t>нато, че ще има три вида ра</w:t>
            </w:r>
            <w:r w:rsidRPr="00BF749F">
              <w:rPr>
                <w:rFonts w:ascii="Verdana" w:eastAsia="Times New Roman" w:hAnsi="Verdana" w:cs="Times New Roman"/>
                <w:kern w:val="0"/>
                <w:sz w:val="16"/>
                <w:szCs w:val="16"/>
              </w:rPr>
              <w:t>з</w:t>
            </w:r>
            <w:r w:rsidRPr="00BF749F">
              <w:rPr>
                <w:rFonts w:ascii="Verdana" w:eastAsia="Times New Roman" w:hAnsi="Verdana" w:cs="Times New Roman"/>
                <w:kern w:val="0"/>
                <w:sz w:val="16"/>
                <w:szCs w:val="16"/>
              </w:rPr>
              <w:t>ходи, които произтичат от акта на сътрудничеството и орган</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зацията на изпълнението на колективен проект за сътру</w:t>
            </w:r>
            <w:r w:rsidRPr="00BF749F">
              <w:rPr>
                <w:rFonts w:ascii="Verdana" w:eastAsia="Times New Roman" w:hAnsi="Verdana" w:cs="Times New Roman"/>
                <w:kern w:val="0"/>
                <w:sz w:val="16"/>
                <w:szCs w:val="16"/>
              </w:rPr>
              <w:t>д</w:t>
            </w:r>
            <w:r w:rsidRPr="00BF749F">
              <w:rPr>
                <w:rFonts w:ascii="Verdana" w:eastAsia="Times New Roman" w:hAnsi="Verdana" w:cs="Times New Roman"/>
                <w:kern w:val="0"/>
                <w:sz w:val="16"/>
                <w:szCs w:val="16"/>
              </w:rPr>
              <w:t>ничество на обединение за къса верига на доставки или обединение за местен пазар. Определянето на вида на о</w:t>
            </w:r>
            <w:r w:rsidRPr="00BF749F">
              <w:rPr>
                <w:rFonts w:ascii="Verdana" w:eastAsia="Times New Roman" w:hAnsi="Verdana" w:cs="Times New Roman"/>
                <w:kern w:val="0"/>
                <w:sz w:val="16"/>
                <w:szCs w:val="16"/>
              </w:rPr>
              <w:t>п</w:t>
            </w:r>
            <w:r w:rsidRPr="00BF749F">
              <w:rPr>
                <w:rFonts w:ascii="Verdana" w:eastAsia="Times New Roman" w:hAnsi="Verdana" w:cs="Times New Roman"/>
                <w:kern w:val="0"/>
                <w:sz w:val="16"/>
                <w:szCs w:val="16"/>
              </w:rPr>
              <w:t>ростените разходи и методик</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та за извършване на изчисл</w:t>
            </w:r>
            <w:r w:rsidRPr="00BF749F">
              <w:rPr>
                <w:rFonts w:ascii="Verdana" w:eastAsia="Times New Roman" w:hAnsi="Verdana" w:cs="Times New Roman"/>
                <w:kern w:val="0"/>
                <w:sz w:val="16"/>
                <w:szCs w:val="16"/>
              </w:rPr>
              <w:t>е</w:t>
            </w:r>
            <w:r w:rsidRPr="00BF749F">
              <w:rPr>
                <w:rFonts w:ascii="Verdana" w:eastAsia="Times New Roman" w:hAnsi="Verdana" w:cs="Times New Roman"/>
                <w:kern w:val="0"/>
                <w:sz w:val="16"/>
                <w:szCs w:val="16"/>
              </w:rPr>
              <w:t>нията се базира на използв</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нето на методите на статист</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ческия анализ и по-точно на технологията „Извличане на знания от данни“ (Data mining) като процес на откриване на смислени корелации, завис</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мости, повтарящи се образци и тенденции в големи масиви от данни. Този вид извличане на данни посредством предвар</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телно формулирани заявки към базите данни събрани от пр</w:t>
            </w:r>
            <w:r w:rsidRPr="00BF749F">
              <w:rPr>
                <w:rFonts w:ascii="Verdana" w:eastAsia="Times New Roman" w:hAnsi="Verdana" w:cs="Times New Roman"/>
                <w:kern w:val="0"/>
                <w:sz w:val="16"/>
                <w:szCs w:val="16"/>
              </w:rPr>
              <w:t>е</w:t>
            </w:r>
            <w:r w:rsidRPr="00BF749F">
              <w:rPr>
                <w:rFonts w:ascii="Verdana" w:eastAsia="Times New Roman" w:hAnsi="Verdana" w:cs="Times New Roman"/>
                <w:kern w:val="0"/>
                <w:sz w:val="16"/>
                <w:szCs w:val="16"/>
              </w:rPr>
              <w:t>дишни периоди, генерира им</w:t>
            </w:r>
            <w:r w:rsidRPr="00BF749F">
              <w:rPr>
                <w:rFonts w:ascii="Verdana" w:eastAsia="Times New Roman" w:hAnsi="Verdana" w:cs="Times New Roman"/>
                <w:kern w:val="0"/>
                <w:sz w:val="16"/>
                <w:szCs w:val="16"/>
              </w:rPr>
              <w:t>п</w:t>
            </w:r>
            <w:r w:rsidRPr="00BF749F">
              <w:rPr>
                <w:rFonts w:ascii="Verdana" w:eastAsia="Times New Roman" w:hAnsi="Verdana" w:cs="Times New Roman"/>
                <w:kern w:val="0"/>
                <w:sz w:val="16"/>
                <w:szCs w:val="16"/>
              </w:rPr>
              <w:t>лицитно формулиране на не очевидна, предварително и</w:t>
            </w:r>
            <w:r w:rsidRPr="00BF749F">
              <w:rPr>
                <w:rFonts w:ascii="Verdana" w:eastAsia="Times New Roman" w:hAnsi="Verdana" w:cs="Times New Roman"/>
                <w:kern w:val="0"/>
                <w:sz w:val="16"/>
                <w:szCs w:val="16"/>
              </w:rPr>
              <w:t>з</w:t>
            </w:r>
            <w:r w:rsidRPr="00BF749F">
              <w:rPr>
                <w:rFonts w:ascii="Verdana" w:eastAsia="Times New Roman" w:hAnsi="Verdana" w:cs="Times New Roman"/>
                <w:kern w:val="0"/>
                <w:sz w:val="16"/>
                <w:szCs w:val="16"/>
              </w:rPr>
              <w:t>вестна и полезна информация за използване на допустими, одобрени, прозрачно и точно направени разходи в минали периода за оценка на бъдещ</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lastRenderedPageBreak/>
              <w:t>те такива. Предложени са ч</w:t>
            </w:r>
            <w:r w:rsidRPr="00BF749F">
              <w:rPr>
                <w:rFonts w:ascii="Verdana" w:eastAsia="Times New Roman" w:hAnsi="Verdana" w:cs="Times New Roman"/>
                <w:kern w:val="0"/>
                <w:sz w:val="16"/>
                <w:szCs w:val="16"/>
              </w:rPr>
              <w:t>е</w:t>
            </w:r>
            <w:r w:rsidRPr="00BF749F">
              <w:rPr>
                <w:rFonts w:ascii="Verdana" w:eastAsia="Times New Roman" w:hAnsi="Verdana" w:cs="Times New Roman"/>
                <w:kern w:val="0"/>
                <w:sz w:val="16"/>
                <w:szCs w:val="16"/>
              </w:rPr>
              <w:t>тири вида разходи, произтич</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щи от акта на сътрудничество, групирани съгласно т.5 от Guidance document “Co-operation” measure (version:November 2014), а именно: разходи за проучв</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ния; разходи за стимулиране на интерес и разширяване на състава на новосъздадения клъстер; текущи разходи във връзка със сътрудничеството и разходи за популяризиране.</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t>На базата на гореописания подход, бяха извлечени, ст</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тистически обработени и пре</w:t>
            </w:r>
            <w:r w:rsidRPr="00BF749F">
              <w:rPr>
                <w:rFonts w:ascii="Verdana" w:eastAsia="Times New Roman" w:hAnsi="Verdana" w:cs="Times New Roman"/>
                <w:kern w:val="0"/>
                <w:sz w:val="16"/>
                <w:szCs w:val="16"/>
              </w:rPr>
              <w:t>с</w:t>
            </w:r>
            <w:r w:rsidRPr="00BF749F">
              <w:rPr>
                <w:rFonts w:ascii="Verdana" w:eastAsia="Times New Roman" w:hAnsi="Verdana" w:cs="Times New Roman"/>
                <w:kern w:val="0"/>
                <w:sz w:val="16"/>
                <w:szCs w:val="16"/>
              </w:rPr>
              <w:t>метнати средните стойности на релевантни единични дейности по отделни проекти, които са прилагани по подхода ЛИДЕР по Програмата за развитие на селските райони през програ</w:t>
            </w:r>
            <w:r w:rsidRPr="00BF749F">
              <w:rPr>
                <w:rFonts w:ascii="Verdana" w:eastAsia="Times New Roman" w:hAnsi="Verdana" w:cs="Times New Roman"/>
                <w:kern w:val="0"/>
                <w:sz w:val="16"/>
                <w:szCs w:val="16"/>
              </w:rPr>
              <w:t>м</w:t>
            </w:r>
            <w:r w:rsidRPr="00BF749F">
              <w:rPr>
                <w:rFonts w:ascii="Verdana" w:eastAsia="Times New Roman" w:hAnsi="Verdana" w:cs="Times New Roman"/>
                <w:kern w:val="0"/>
                <w:sz w:val="16"/>
                <w:szCs w:val="16"/>
              </w:rPr>
              <w:t>ния период 2007 – 2013 г. и на тяхна база са предложени стандартни таблица за разх</w:t>
            </w:r>
            <w:r w:rsidRPr="00BF749F">
              <w:rPr>
                <w:rFonts w:ascii="Verdana" w:eastAsia="Times New Roman" w:hAnsi="Verdana" w:cs="Times New Roman"/>
                <w:kern w:val="0"/>
                <w:sz w:val="16"/>
                <w:szCs w:val="16"/>
              </w:rPr>
              <w:t>о</w:t>
            </w:r>
            <w:r w:rsidRPr="00BF749F">
              <w:rPr>
                <w:rFonts w:ascii="Verdana" w:eastAsia="Times New Roman" w:hAnsi="Verdana" w:cs="Times New Roman"/>
                <w:kern w:val="0"/>
                <w:sz w:val="16"/>
                <w:szCs w:val="16"/>
              </w:rPr>
              <w:t>дите за единица продукт.</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t>Изчисленията на стандартните разходи са извършени от Съюз на икономистите в България, който е функционално незав</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сим орган от Министерство на земеделието, храните и горите и Държавен фонд „Земеделие“, съгласно чл.62 , пар.2 от ре</w:t>
            </w:r>
            <w:r w:rsidRPr="00BF749F">
              <w:rPr>
                <w:rFonts w:ascii="Verdana" w:eastAsia="Times New Roman" w:hAnsi="Verdana" w:cs="Times New Roman"/>
                <w:kern w:val="0"/>
                <w:sz w:val="16"/>
                <w:szCs w:val="16"/>
              </w:rPr>
              <w:t>г</w:t>
            </w:r>
            <w:r w:rsidRPr="00BF749F">
              <w:rPr>
                <w:rFonts w:ascii="Verdana" w:eastAsia="Times New Roman" w:hAnsi="Verdana" w:cs="Times New Roman"/>
                <w:kern w:val="0"/>
                <w:sz w:val="16"/>
                <w:szCs w:val="16"/>
              </w:rPr>
              <w:t>ламент 1305/2013.</w:t>
            </w:r>
          </w:p>
          <w:p w:rsidR="00BF749F" w:rsidRPr="00BF749F" w:rsidRDefault="00BF749F" w:rsidP="00BF749F">
            <w:pPr>
              <w:widowControl/>
              <w:suppressAutoHyphens w:val="0"/>
              <w:autoSpaceDN/>
              <w:spacing w:after="0" w:line="240" w:lineRule="auto"/>
              <w:jc w:val="center"/>
              <w:textAlignment w:val="auto"/>
              <w:rPr>
                <w:rFonts w:ascii="Verdana" w:eastAsia="Times New Roman" w:hAnsi="Verdana" w:cs="Times New Roman"/>
                <w:b/>
                <w:kern w:val="0"/>
                <w:sz w:val="16"/>
                <w:szCs w:val="16"/>
              </w:rPr>
            </w:pPr>
          </w:p>
        </w:tc>
        <w:tc>
          <w:tcPr>
            <w:tcW w:w="2481" w:type="pct"/>
            <w:shd w:val="clear" w:color="auto" w:fill="FFFFFF" w:themeFill="background1"/>
            <w:vAlign w:val="center"/>
          </w:tcPr>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kern w:val="0"/>
                <w:sz w:val="16"/>
                <w:szCs w:val="16"/>
              </w:rPr>
            </w:pPr>
            <w:r w:rsidRPr="00BF749F">
              <w:rPr>
                <w:rFonts w:ascii="Verdana" w:eastAsia="Times New Roman" w:hAnsi="Verdana" w:cs="Times New Roman"/>
                <w:kern w:val="0"/>
                <w:sz w:val="16"/>
                <w:szCs w:val="16"/>
              </w:rPr>
              <w:lastRenderedPageBreak/>
              <w:t>Определянето на стойността на разходите за проучв</w:t>
            </w:r>
            <w:r w:rsidRPr="00BF749F">
              <w:rPr>
                <w:rFonts w:ascii="Verdana" w:eastAsia="Times New Roman" w:hAnsi="Verdana" w:cs="Times New Roman"/>
                <w:kern w:val="0"/>
                <w:sz w:val="16"/>
                <w:szCs w:val="16"/>
              </w:rPr>
              <w:t>а</w:t>
            </w:r>
            <w:r w:rsidRPr="00BF749F">
              <w:rPr>
                <w:rFonts w:ascii="Verdana" w:eastAsia="Times New Roman" w:hAnsi="Verdana" w:cs="Times New Roman"/>
                <w:kern w:val="0"/>
                <w:sz w:val="16"/>
                <w:szCs w:val="16"/>
              </w:rPr>
              <w:t>ния, разходите за стимулиране на интерес и за текущ</w:t>
            </w:r>
            <w:r w:rsidRPr="00BF749F">
              <w:rPr>
                <w:rFonts w:ascii="Verdana" w:eastAsia="Times New Roman" w:hAnsi="Verdana" w:cs="Times New Roman"/>
                <w:kern w:val="0"/>
                <w:sz w:val="16"/>
                <w:szCs w:val="16"/>
              </w:rPr>
              <w:t>и</w:t>
            </w:r>
            <w:r w:rsidRPr="00BF749F">
              <w:rPr>
                <w:rFonts w:ascii="Verdana" w:eastAsia="Times New Roman" w:hAnsi="Verdana" w:cs="Times New Roman"/>
                <w:kern w:val="0"/>
                <w:sz w:val="16"/>
                <w:szCs w:val="16"/>
              </w:rPr>
              <w:t>те разходи във връзка със сътрудничеството за всяка оперативна група ще се базира на стандартни разходи, съгласно чл. 67, параграф 1, буква б) от Регламент (ЕС) № 1303/2013. При определянето на стандартните изчисления за разходите ще се прилагат условията на чл. 67, параграф 5, буква а) от Регламент (ЕС) № 1303/2013.</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За определяне на стандартните изчисления за разходите е използван метода на стандартните таблици на разходите за единица продукт. Опр</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 xml:space="preserve">делянето на стандартните таблици на единичните разходи се основава на пазарни проучвания на цените, които могат да бъдат проверени. </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Подходът на изчисление е пазарен, т.е. използван е метод на сравнителните анализи. При този м</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тод за оценка стойността се определя чрез пряко сравнение на пазарни цени на продукти или усл</w:t>
            </w:r>
            <w:r w:rsidRPr="00BF749F">
              <w:rPr>
                <w:rFonts w:ascii="Verdana" w:eastAsia="Times New Roman" w:hAnsi="Verdana" w:cs="Times New Roman"/>
                <w:b/>
                <w:color w:val="FF0000"/>
                <w:kern w:val="0"/>
                <w:sz w:val="16"/>
                <w:szCs w:val="16"/>
                <w:u w:val="single"/>
              </w:rPr>
              <w:t>у</w:t>
            </w:r>
            <w:r w:rsidRPr="00BF749F">
              <w:rPr>
                <w:rFonts w:ascii="Verdana" w:eastAsia="Times New Roman" w:hAnsi="Verdana" w:cs="Times New Roman"/>
                <w:b/>
                <w:color w:val="FF0000"/>
                <w:kern w:val="0"/>
                <w:sz w:val="16"/>
                <w:szCs w:val="16"/>
                <w:u w:val="single"/>
              </w:rPr>
              <w:t>ги със сходни характеристики, към определен момент. Методологията, използвана за обработка и анализ на получената информация, както и и</w:t>
            </w:r>
            <w:r w:rsidRPr="00BF749F">
              <w:rPr>
                <w:rFonts w:ascii="Verdana" w:eastAsia="Times New Roman" w:hAnsi="Verdana" w:cs="Times New Roman"/>
                <w:b/>
                <w:color w:val="FF0000"/>
                <w:kern w:val="0"/>
                <w:sz w:val="16"/>
                <w:szCs w:val="16"/>
                <w:u w:val="single"/>
              </w:rPr>
              <w:t>з</w:t>
            </w:r>
            <w:r w:rsidRPr="00BF749F">
              <w:rPr>
                <w:rFonts w:ascii="Verdana" w:eastAsia="Times New Roman" w:hAnsi="Verdana" w:cs="Times New Roman"/>
                <w:b/>
                <w:color w:val="FF0000"/>
                <w:kern w:val="0"/>
                <w:sz w:val="16"/>
                <w:szCs w:val="16"/>
                <w:u w:val="single"/>
              </w:rPr>
              <w:t>веждане и тестване на индикативни нива на о</w:t>
            </w:r>
            <w:r w:rsidRPr="00BF749F">
              <w:rPr>
                <w:rFonts w:ascii="Verdana" w:eastAsia="Times New Roman" w:hAnsi="Verdana" w:cs="Times New Roman"/>
                <w:b/>
                <w:color w:val="FF0000"/>
                <w:kern w:val="0"/>
                <w:sz w:val="16"/>
                <w:szCs w:val="16"/>
                <w:u w:val="single"/>
              </w:rPr>
              <w:t>п</w:t>
            </w:r>
            <w:r w:rsidRPr="00BF749F">
              <w:rPr>
                <w:rFonts w:ascii="Verdana" w:eastAsia="Times New Roman" w:hAnsi="Verdana" w:cs="Times New Roman"/>
                <w:b/>
                <w:color w:val="FF0000"/>
                <w:kern w:val="0"/>
                <w:sz w:val="16"/>
                <w:szCs w:val="16"/>
                <w:u w:val="single"/>
              </w:rPr>
              <w:t>ростени разходи, по определените видове допу</w:t>
            </w:r>
            <w:r w:rsidRPr="00BF749F">
              <w:rPr>
                <w:rFonts w:ascii="Verdana" w:eastAsia="Times New Roman" w:hAnsi="Verdana" w:cs="Times New Roman"/>
                <w:b/>
                <w:color w:val="FF0000"/>
                <w:kern w:val="0"/>
                <w:sz w:val="16"/>
                <w:szCs w:val="16"/>
                <w:u w:val="single"/>
              </w:rPr>
              <w:t>с</w:t>
            </w:r>
            <w:r w:rsidRPr="00BF749F">
              <w:rPr>
                <w:rFonts w:ascii="Verdana" w:eastAsia="Times New Roman" w:hAnsi="Verdana" w:cs="Times New Roman"/>
                <w:b/>
                <w:color w:val="FF0000"/>
                <w:kern w:val="0"/>
                <w:sz w:val="16"/>
                <w:szCs w:val="16"/>
                <w:u w:val="single"/>
              </w:rPr>
              <w:t>тими разходи е определена на база на изискван</w:t>
            </w:r>
            <w:r w:rsidRPr="00BF749F">
              <w:rPr>
                <w:rFonts w:ascii="Verdana" w:eastAsia="Times New Roman" w:hAnsi="Verdana" w:cs="Times New Roman"/>
                <w:b/>
                <w:color w:val="FF0000"/>
                <w:kern w:val="0"/>
                <w:sz w:val="16"/>
                <w:szCs w:val="16"/>
                <w:u w:val="single"/>
              </w:rPr>
              <w:t>и</w:t>
            </w:r>
            <w:r w:rsidRPr="00BF749F">
              <w:rPr>
                <w:rFonts w:ascii="Verdana" w:eastAsia="Times New Roman" w:hAnsi="Verdana" w:cs="Times New Roman"/>
                <w:b/>
                <w:color w:val="FF0000"/>
                <w:kern w:val="0"/>
                <w:sz w:val="16"/>
                <w:szCs w:val="16"/>
                <w:u w:val="single"/>
              </w:rPr>
              <w:t>ята, дефинирани от ЕК в „Указанията за опрост</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 xml:space="preserve">ните варианти за разходите“. </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За разработването на конкретните стойности на ставките са приложени стандартни методи на ст</w:t>
            </w:r>
            <w:r w:rsidRPr="00BF749F">
              <w:rPr>
                <w:rFonts w:ascii="Verdana" w:eastAsia="Times New Roman" w:hAnsi="Verdana" w:cs="Times New Roman"/>
                <w:b/>
                <w:color w:val="FF0000"/>
                <w:kern w:val="0"/>
                <w:sz w:val="16"/>
                <w:szCs w:val="16"/>
                <w:u w:val="single"/>
              </w:rPr>
              <w:t>а</w:t>
            </w:r>
            <w:r w:rsidRPr="00BF749F">
              <w:rPr>
                <w:rFonts w:ascii="Verdana" w:eastAsia="Times New Roman" w:hAnsi="Verdana" w:cs="Times New Roman"/>
                <w:b/>
                <w:color w:val="FF0000"/>
                <w:kern w:val="0"/>
                <w:sz w:val="16"/>
                <w:szCs w:val="16"/>
                <w:u w:val="single"/>
              </w:rPr>
              <w:t>тистически и финансов анализ, с широко прил</w:t>
            </w:r>
            <w:r w:rsidRPr="00BF749F">
              <w:rPr>
                <w:rFonts w:ascii="Verdana" w:eastAsia="Times New Roman" w:hAnsi="Verdana" w:cs="Times New Roman"/>
                <w:b/>
                <w:color w:val="FF0000"/>
                <w:kern w:val="0"/>
                <w:sz w:val="16"/>
                <w:szCs w:val="16"/>
                <w:u w:val="single"/>
              </w:rPr>
              <w:t>о</w:t>
            </w:r>
            <w:r w:rsidRPr="00BF749F">
              <w:rPr>
                <w:rFonts w:ascii="Verdana" w:eastAsia="Times New Roman" w:hAnsi="Verdana" w:cs="Times New Roman"/>
                <w:b/>
                <w:color w:val="FF0000"/>
                <w:kern w:val="0"/>
                <w:sz w:val="16"/>
                <w:szCs w:val="16"/>
                <w:u w:val="single"/>
              </w:rPr>
              <w:t>жение при икономически и други проучвания. Целта е да се използват общоприети и надеждни методи за анализ, за да се достигне до резултати и заключения, които:</w:t>
            </w:r>
          </w:p>
          <w:p w:rsidR="00BF749F" w:rsidRPr="00BF749F" w:rsidRDefault="00BF749F" w:rsidP="00386C69">
            <w:pPr>
              <w:widowControl/>
              <w:numPr>
                <w:ilvl w:val="0"/>
                <w:numId w:val="43"/>
              </w:numPr>
              <w:suppressAutoHyphens w:val="0"/>
              <w:autoSpaceDN/>
              <w:spacing w:after="0" w:line="240" w:lineRule="auto"/>
              <w:ind w:firstLine="360"/>
              <w:contextualSpacing/>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са проверими и възпроизведими (при нужда със същите, разширени или нови данни);</w:t>
            </w:r>
          </w:p>
          <w:p w:rsidR="00BF749F" w:rsidRPr="00BF749F" w:rsidRDefault="00BF749F" w:rsidP="00386C69">
            <w:pPr>
              <w:widowControl/>
              <w:numPr>
                <w:ilvl w:val="0"/>
                <w:numId w:val="43"/>
              </w:numPr>
              <w:suppressAutoHyphens w:val="0"/>
              <w:autoSpaceDN/>
              <w:spacing w:after="0" w:line="240" w:lineRule="auto"/>
              <w:ind w:firstLine="360"/>
              <w:contextualSpacing/>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са съобразени с практиката за разработване на опростени разходи и в други страни-членки за анализ и изве</w:t>
            </w:r>
            <w:r w:rsidRPr="00BF749F">
              <w:rPr>
                <w:rFonts w:ascii="Verdana" w:eastAsia="Times New Roman" w:hAnsi="Verdana" w:cs="Times New Roman"/>
                <w:b/>
                <w:color w:val="FF0000"/>
                <w:kern w:val="0"/>
                <w:sz w:val="16"/>
                <w:szCs w:val="16"/>
                <w:u w:val="single"/>
              </w:rPr>
              <w:t>ж</w:t>
            </w:r>
            <w:r w:rsidRPr="00BF749F">
              <w:rPr>
                <w:rFonts w:ascii="Verdana" w:eastAsia="Times New Roman" w:hAnsi="Verdana" w:cs="Times New Roman"/>
                <w:b/>
                <w:color w:val="FF0000"/>
                <w:kern w:val="0"/>
                <w:sz w:val="16"/>
                <w:szCs w:val="16"/>
                <w:u w:val="single"/>
              </w:rPr>
              <w:t xml:space="preserve">дане на опростени разходи (насоките за разработване на опростени разходи са предложни за използване от 23 страни членки на ЕС за периода 2014-2020 г.); </w:t>
            </w:r>
          </w:p>
          <w:p w:rsidR="00BF749F" w:rsidRPr="00BF749F" w:rsidRDefault="00BF749F" w:rsidP="00386C69">
            <w:pPr>
              <w:widowControl/>
              <w:numPr>
                <w:ilvl w:val="0"/>
                <w:numId w:val="43"/>
              </w:numPr>
              <w:suppressAutoHyphens w:val="0"/>
              <w:autoSpaceDN/>
              <w:spacing w:after="0" w:line="240" w:lineRule="auto"/>
              <w:ind w:firstLine="360"/>
              <w:contextualSpacing/>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имат добро покритие на наблюд</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ния;</w:t>
            </w:r>
          </w:p>
          <w:p w:rsidR="00BF749F" w:rsidRPr="00BF749F" w:rsidRDefault="00BF749F" w:rsidP="00386C69">
            <w:pPr>
              <w:widowControl/>
              <w:numPr>
                <w:ilvl w:val="0"/>
                <w:numId w:val="43"/>
              </w:numPr>
              <w:suppressAutoHyphens w:val="0"/>
              <w:autoSpaceDN/>
              <w:spacing w:after="0" w:line="240" w:lineRule="auto"/>
              <w:ind w:firstLine="360"/>
              <w:contextualSpacing/>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са подкрепени и от пазарните у</w:t>
            </w:r>
            <w:r w:rsidRPr="00BF749F">
              <w:rPr>
                <w:rFonts w:ascii="Verdana" w:eastAsia="Times New Roman" w:hAnsi="Verdana" w:cs="Times New Roman"/>
                <w:b/>
                <w:color w:val="FF0000"/>
                <w:kern w:val="0"/>
                <w:sz w:val="16"/>
                <w:szCs w:val="16"/>
                <w:u w:val="single"/>
              </w:rPr>
              <w:t>с</w:t>
            </w:r>
            <w:r w:rsidRPr="00BF749F">
              <w:rPr>
                <w:rFonts w:ascii="Verdana" w:eastAsia="Times New Roman" w:hAnsi="Verdana" w:cs="Times New Roman"/>
                <w:b/>
                <w:color w:val="FF0000"/>
                <w:kern w:val="0"/>
                <w:sz w:val="16"/>
                <w:szCs w:val="16"/>
                <w:u w:val="single"/>
              </w:rPr>
              <w:t>ловия в страната.</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b/>
                <w:color w:val="FF0000"/>
                <w:kern w:val="0"/>
                <w:sz w:val="16"/>
                <w:szCs w:val="16"/>
                <w:u w:val="single"/>
              </w:rPr>
            </w:pPr>
            <w:r w:rsidRPr="00BF749F">
              <w:rPr>
                <w:rFonts w:ascii="Verdana" w:eastAsia="Times New Roman" w:hAnsi="Verdana" w:cs="Times New Roman"/>
                <w:b/>
                <w:color w:val="FF0000"/>
                <w:kern w:val="0"/>
                <w:sz w:val="16"/>
                <w:szCs w:val="16"/>
                <w:u w:val="single"/>
              </w:rPr>
              <w:t>Изчисленията на стандартните разходи са извъ</w:t>
            </w:r>
            <w:r w:rsidRPr="00BF749F">
              <w:rPr>
                <w:rFonts w:ascii="Verdana" w:eastAsia="Times New Roman" w:hAnsi="Verdana" w:cs="Times New Roman"/>
                <w:b/>
                <w:color w:val="FF0000"/>
                <w:kern w:val="0"/>
                <w:sz w:val="16"/>
                <w:szCs w:val="16"/>
                <w:u w:val="single"/>
              </w:rPr>
              <w:t>р</w:t>
            </w:r>
            <w:r w:rsidRPr="00BF749F">
              <w:rPr>
                <w:rFonts w:ascii="Verdana" w:eastAsia="Times New Roman" w:hAnsi="Verdana" w:cs="Times New Roman"/>
                <w:b/>
                <w:color w:val="FF0000"/>
                <w:kern w:val="0"/>
                <w:sz w:val="16"/>
                <w:szCs w:val="16"/>
                <w:u w:val="single"/>
              </w:rPr>
              <w:t xml:space="preserve">шени от екип на Университета за национално и </w:t>
            </w:r>
            <w:r w:rsidRPr="00BF749F">
              <w:rPr>
                <w:rFonts w:ascii="Verdana" w:eastAsia="Times New Roman" w:hAnsi="Verdana" w:cs="Times New Roman"/>
                <w:b/>
                <w:color w:val="FF0000"/>
                <w:kern w:val="0"/>
                <w:sz w:val="16"/>
                <w:szCs w:val="16"/>
                <w:u w:val="single"/>
              </w:rPr>
              <w:lastRenderedPageBreak/>
              <w:t>световно стопанство (УНСС), който е функци</w:t>
            </w:r>
            <w:r w:rsidRPr="00BF749F">
              <w:rPr>
                <w:rFonts w:ascii="Verdana" w:eastAsia="Times New Roman" w:hAnsi="Verdana" w:cs="Times New Roman"/>
                <w:b/>
                <w:color w:val="FF0000"/>
                <w:kern w:val="0"/>
                <w:sz w:val="16"/>
                <w:szCs w:val="16"/>
                <w:u w:val="single"/>
              </w:rPr>
              <w:t>о</w:t>
            </w:r>
            <w:r w:rsidRPr="00BF749F">
              <w:rPr>
                <w:rFonts w:ascii="Verdana" w:eastAsia="Times New Roman" w:hAnsi="Verdana" w:cs="Times New Roman"/>
                <w:b/>
                <w:color w:val="FF0000"/>
                <w:kern w:val="0"/>
                <w:sz w:val="16"/>
                <w:szCs w:val="16"/>
                <w:u w:val="single"/>
              </w:rPr>
              <w:t>нално независим орган от Министерство на зем</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делието, храните и горите и Държавен фонд „З</w:t>
            </w:r>
            <w:r w:rsidRPr="00BF749F">
              <w:rPr>
                <w:rFonts w:ascii="Verdana" w:eastAsia="Times New Roman" w:hAnsi="Verdana" w:cs="Times New Roman"/>
                <w:b/>
                <w:color w:val="FF0000"/>
                <w:kern w:val="0"/>
                <w:sz w:val="16"/>
                <w:szCs w:val="16"/>
                <w:u w:val="single"/>
              </w:rPr>
              <w:t>е</w:t>
            </w:r>
            <w:r w:rsidRPr="00BF749F">
              <w:rPr>
                <w:rFonts w:ascii="Verdana" w:eastAsia="Times New Roman" w:hAnsi="Verdana" w:cs="Times New Roman"/>
                <w:b/>
                <w:color w:val="FF0000"/>
                <w:kern w:val="0"/>
                <w:sz w:val="16"/>
                <w:szCs w:val="16"/>
                <w:u w:val="single"/>
              </w:rPr>
              <w:t>меделие“, съгласно чл. 62, пар. 2 от Регламент 1305/2013.</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strike/>
                <w:kern w:val="0"/>
                <w:sz w:val="16"/>
                <w:szCs w:val="16"/>
              </w:rPr>
            </w:pPr>
            <w:r w:rsidRPr="00BF749F">
              <w:rPr>
                <w:rFonts w:ascii="Verdana" w:eastAsia="Times New Roman" w:hAnsi="Verdana" w:cs="Times New Roman"/>
                <w:strike/>
                <w:kern w:val="0"/>
                <w:sz w:val="16"/>
                <w:szCs w:val="16"/>
              </w:rPr>
              <w:t>Стандартните разходи по подмярка 16.4. са изчислени по методика, при която е  допуснато, че ще има три вида разходи, които произтичат от акта на сътрудн</w:t>
            </w:r>
            <w:r w:rsidRPr="00BF749F">
              <w:rPr>
                <w:rFonts w:ascii="Verdana" w:eastAsia="Times New Roman" w:hAnsi="Verdana" w:cs="Times New Roman"/>
                <w:strike/>
                <w:kern w:val="0"/>
                <w:sz w:val="16"/>
                <w:szCs w:val="16"/>
              </w:rPr>
              <w:t>и</w:t>
            </w:r>
            <w:r w:rsidRPr="00BF749F">
              <w:rPr>
                <w:rFonts w:ascii="Verdana" w:eastAsia="Times New Roman" w:hAnsi="Verdana" w:cs="Times New Roman"/>
                <w:strike/>
                <w:kern w:val="0"/>
                <w:sz w:val="16"/>
                <w:szCs w:val="16"/>
              </w:rPr>
              <w:t>чеството и организацията на изпълнението на колект</w:t>
            </w:r>
            <w:r w:rsidRPr="00BF749F">
              <w:rPr>
                <w:rFonts w:ascii="Verdana" w:eastAsia="Times New Roman" w:hAnsi="Verdana" w:cs="Times New Roman"/>
                <w:strike/>
                <w:kern w:val="0"/>
                <w:sz w:val="16"/>
                <w:szCs w:val="16"/>
              </w:rPr>
              <w:t>и</w:t>
            </w:r>
            <w:r w:rsidRPr="00BF749F">
              <w:rPr>
                <w:rFonts w:ascii="Verdana" w:eastAsia="Times New Roman" w:hAnsi="Verdana" w:cs="Times New Roman"/>
                <w:strike/>
                <w:kern w:val="0"/>
                <w:sz w:val="16"/>
                <w:szCs w:val="16"/>
              </w:rPr>
              <w:t>вен проект за сътрудничество на обединение за къса верига на доставки или обединение за местен пазар. Определянето на вида на опростените разходи и мет</w:t>
            </w:r>
            <w:r w:rsidRPr="00BF749F">
              <w:rPr>
                <w:rFonts w:ascii="Verdana" w:eastAsia="Times New Roman" w:hAnsi="Verdana" w:cs="Times New Roman"/>
                <w:strike/>
                <w:kern w:val="0"/>
                <w:sz w:val="16"/>
                <w:szCs w:val="16"/>
              </w:rPr>
              <w:t>о</w:t>
            </w:r>
            <w:r w:rsidRPr="00BF749F">
              <w:rPr>
                <w:rFonts w:ascii="Verdana" w:eastAsia="Times New Roman" w:hAnsi="Verdana" w:cs="Times New Roman"/>
                <w:strike/>
                <w:kern w:val="0"/>
                <w:sz w:val="16"/>
                <w:szCs w:val="16"/>
              </w:rPr>
              <w:t>диката за извършване на изчисленията се базира на използването на методите на статистическия анализ и по-точно на технологията „Извличане на знания от данни“ (Data mining) като процес на откриване на смислени корелации, зависимости, повтарящи се о</w:t>
            </w:r>
            <w:r w:rsidRPr="00BF749F">
              <w:rPr>
                <w:rFonts w:ascii="Verdana" w:eastAsia="Times New Roman" w:hAnsi="Verdana" w:cs="Times New Roman"/>
                <w:strike/>
                <w:kern w:val="0"/>
                <w:sz w:val="16"/>
                <w:szCs w:val="16"/>
              </w:rPr>
              <w:t>б</w:t>
            </w:r>
            <w:r w:rsidRPr="00BF749F">
              <w:rPr>
                <w:rFonts w:ascii="Verdana" w:eastAsia="Times New Roman" w:hAnsi="Verdana" w:cs="Times New Roman"/>
                <w:strike/>
                <w:kern w:val="0"/>
                <w:sz w:val="16"/>
                <w:szCs w:val="16"/>
              </w:rPr>
              <w:t>разци и тенденции в големи масиви от данни. Този вид извличане на данни посредством предварително фо</w:t>
            </w:r>
            <w:r w:rsidRPr="00BF749F">
              <w:rPr>
                <w:rFonts w:ascii="Verdana" w:eastAsia="Times New Roman" w:hAnsi="Verdana" w:cs="Times New Roman"/>
                <w:strike/>
                <w:kern w:val="0"/>
                <w:sz w:val="16"/>
                <w:szCs w:val="16"/>
              </w:rPr>
              <w:t>р</w:t>
            </w:r>
            <w:r w:rsidRPr="00BF749F">
              <w:rPr>
                <w:rFonts w:ascii="Verdana" w:eastAsia="Times New Roman" w:hAnsi="Verdana" w:cs="Times New Roman"/>
                <w:strike/>
                <w:kern w:val="0"/>
                <w:sz w:val="16"/>
                <w:szCs w:val="16"/>
              </w:rPr>
              <w:t>мулирани заявки към базите данни събрани от преди</w:t>
            </w:r>
            <w:r w:rsidRPr="00BF749F">
              <w:rPr>
                <w:rFonts w:ascii="Verdana" w:eastAsia="Times New Roman" w:hAnsi="Verdana" w:cs="Times New Roman"/>
                <w:strike/>
                <w:kern w:val="0"/>
                <w:sz w:val="16"/>
                <w:szCs w:val="16"/>
              </w:rPr>
              <w:t>ш</w:t>
            </w:r>
            <w:r w:rsidRPr="00BF749F">
              <w:rPr>
                <w:rFonts w:ascii="Verdana" w:eastAsia="Times New Roman" w:hAnsi="Verdana" w:cs="Times New Roman"/>
                <w:strike/>
                <w:kern w:val="0"/>
                <w:sz w:val="16"/>
                <w:szCs w:val="16"/>
              </w:rPr>
              <w:t>ни периоди, генерира имплицитно формулиране на не очевидна, предварително известна и полезна инфо</w:t>
            </w:r>
            <w:r w:rsidRPr="00BF749F">
              <w:rPr>
                <w:rFonts w:ascii="Verdana" w:eastAsia="Times New Roman" w:hAnsi="Verdana" w:cs="Times New Roman"/>
                <w:strike/>
                <w:kern w:val="0"/>
                <w:sz w:val="16"/>
                <w:szCs w:val="16"/>
              </w:rPr>
              <w:t>р</w:t>
            </w:r>
            <w:r w:rsidRPr="00BF749F">
              <w:rPr>
                <w:rFonts w:ascii="Verdana" w:eastAsia="Times New Roman" w:hAnsi="Verdana" w:cs="Times New Roman"/>
                <w:strike/>
                <w:kern w:val="0"/>
                <w:sz w:val="16"/>
                <w:szCs w:val="16"/>
              </w:rPr>
              <w:t>мация за използване на допустими, одобрени, прозра</w:t>
            </w:r>
            <w:r w:rsidRPr="00BF749F">
              <w:rPr>
                <w:rFonts w:ascii="Verdana" w:eastAsia="Times New Roman" w:hAnsi="Verdana" w:cs="Times New Roman"/>
                <w:strike/>
                <w:kern w:val="0"/>
                <w:sz w:val="16"/>
                <w:szCs w:val="16"/>
              </w:rPr>
              <w:t>ч</w:t>
            </w:r>
            <w:r w:rsidRPr="00BF749F">
              <w:rPr>
                <w:rFonts w:ascii="Verdana" w:eastAsia="Times New Roman" w:hAnsi="Verdana" w:cs="Times New Roman"/>
                <w:strike/>
                <w:kern w:val="0"/>
                <w:sz w:val="16"/>
                <w:szCs w:val="16"/>
              </w:rPr>
              <w:t>но и точно направени разходи в минали периода за оценка на бъдещите такива. Предложени са четири вида разходи, произтичащи от акта на сътрудничество, групирани съгласно т.5 от Guidance document “Co-operation” measure (version:November 2014), а именно: разходи за проучвания; разходи за стимулиране на интерес и разширяване на състава на новосъздадения клъстер; текущи разходи във връзка със сътрудничес</w:t>
            </w:r>
            <w:r w:rsidRPr="00BF749F">
              <w:rPr>
                <w:rFonts w:ascii="Verdana" w:eastAsia="Times New Roman" w:hAnsi="Verdana" w:cs="Times New Roman"/>
                <w:strike/>
                <w:kern w:val="0"/>
                <w:sz w:val="16"/>
                <w:szCs w:val="16"/>
              </w:rPr>
              <w:t>т</w:t>
            </w:r>
            <w:r w:rsidRPr="00BF749F">
              <w:rPr>
                <w:rFonts w:ascii="Verdana" w:eastAsia="Times New Roman" w:hAnsi="Verdana" w:cs="Times New Roman"/>
                <w:strike/>
                <w:kern w:val="0"/>
                <w:sz w:val="16"/>
                <w:szCs w:val="16"/>
              </w:rPr>
              <w:t>вото и разходи за популяризиране.</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strike/>
                <w:kern w:val="0"/>
                <w:sz w:val="16"/>
                <w:szCs w:val="16"/>
              </w:rPr>
            </w:pPr>
            <w:r w:rsidRPr="00BF749F">
              <w:rPr>
                <w:rFonts w:ascii="Verdana" w:eastAsia="Times New Roman" w:hAnsi="Verdana" w:cs="Times New Roman"/>
                <w:strike/>
                <w:kern w:val="0"/>
                <w:sz w:val="16"/>
                <w:szCs w:val="16"/>
              </w:rPr>
              <w:t>На базата на гореописания подход, бяха извлечени, статистически обработени и пресметнати средните стойности на релевантни единични дейности по отде</w:t>
            </w:r>
            <w:r w:rsidRPr="00BF749F">
              <w:rPr>
                <w:rFonts w:ascii="Verdana" w:eastAsia="Times New Roman" w:hAnsi="Verdana" w:cs="Times New Roman"/>
                <w:strike/>
                <w:kern w:val="0"/>
                <w:sz w:val="16"/>
                <w:szCs w:val="16"/>
              </w:rPr>
              <w:t>л</w:t>
            </w:r>
            <w:r w:rsidRPr="00BF749F">
              <w:rPr>
                <w:rFonts w:ascii="Verdana" w:eastAsia="Times New Roman" w:hAnsi="Verdana" w:cs="Times New Roman"/>
                <w:strike/>
                <w:kern w:val="0"/>
                <w:sz w:val="16"/>
                <w:szCs w:val="16"/>
              </w:rPr>
              <w:t>ни проекти, които са прилагани по подхода ЛИДЕР по Програмата за развитие на селските райони през про</w:t>
            </w:r>
            <w:r w:rsidRPr="00BF749F">
              <w:rPr>
                <w:rFonts w:ascii="Verdana" w:eastAsia="Times New Roman" w:hAnsi="Verdana" w:cs="Times New Roman"/>
                <w:strike/>
                <w:kern w:val="0"/>
                <w:sz w:val="16"/>
                <w:szCs w:val="16"/>
              </w:rPr>
              <w:t>г</w:t>
            </w:r>
            <w:r w:rsidRPr="00BF749F">
              <w:rPr>
                <w:rFonts w:ascii="Verdana" w:eastAsia="Times New Roman" w:hAnsi="Verdana" w:cs="Times New Roman"/>
                <w:strike/>
                <w:kern w:val="0"/>
                <w:sz w:val="16"/>
                <w:szCs w:val="16"/>
              </w:rPr>
              <w:t>рамния период 2007 – 2013 г. и на тяхна база са пре</w:t>
            </w:r>
            <w:r w:rsidRPr="00BF749F">
              <w:rPr>
                <w:rFonts w:ascii="Verdana" w:eastAsia="Times New Roman" w:hAnsi="Verdana" w:cs="Times New Roman"/>
                <w:strike/>
                <w:kern w:val="0"/>
                <w:sz w:val="16"/>
                <w:szCs w:val="16"/>
              </w:rPr>
              <w:t>д</w:t>
            </w:r>
            <w:r w:rsidRPr="00BF749F">
              <w:rPr>
                <w:rFonts w:ascii="Verdana" w:eastAsia="Times New Roman" w:hAnsi="Verdana" w:cs="Times New Roman"/>
                <w:strike/>
                <w:kern w:val="0"/>
                <w:sz w:val="16"/>
                <w:szCs w:val="16"/>
              </w:rPr>
              <w:t>ложени стандартни таблица за разходите за единица продукт.</w:t>
            </w:r>
          </w:p>
          <w:p w:rsidR="00BF749F" w:rsidRPr="00BF749F" w:rsidRDefault="00BF749F" w:rsidP="00BF749F">
            <w:pPr>
              <w:widowControl/>
              <w:suppressAutoHyphens w:val="0"/>
              <w:autoSpaceDN/>
              <w:spacing w:after="0" w:line="240" w:lineRule="auto"/>
              <w:jc w:val="both"/>
              <w:textAlignment w:val="auto"/>
              <w:rPr>
                <w:rFonts w:ascii="Verdana" w:eastAsia="Times New Roman" w:hAnsi="Verdana" w:cs="Times New Roman"/>
                <w:strike/>
                <w:kern w:val="0"/>
                <w:sz w:val="16"/>
                <w:szCs w:val="16"/>
              </w:rPr>
            </w:pPr>
            <w:r w:rsidRPr="00BF749F">
              <w:rPr>
                <w:rFonts w:ascii="Verdana" w:eastAsia="Times New Roman" w:hAnsi="Verdana" w:cs="Times New Roman"/>
                <w:strike/>
                <w:kern w:val="0"/>
                <w:sz w:val="16"/>
                <w:szCs w:val="16"/>
              </w:rPr>
              <w:t>Изчисленията на стандартните разходи са извършени от Съюз на икономистите в България, който е функци</w:t>
            </w:r>
            <w:r w:rsidRPr="00BF749F">
              <w:rPr>
                <w:rFonts w:ascii="Verdana" w:eastAsia="Times New Roman" w:hAnsi="Verdana" w:cs="Times New Roman"/>
                <w:strike/>
                <w:kern w:val="0"/>
                <w:sz w:val="16"/>
                <w:szCs w:val="16"/>
              </w:rPr>
              <w:t>о</w:t>
            </w:r>
            <w:r w:rsidRPr="00BF749F">
              <w:rPr>
                <w:rFonts w:ascii="Verdana" w:eastAsia="Times New Roman" w:hAnsi="Verdana" w:cs="Times New Roman"/>
                <w:strike/>
                <w:kern w:val="0"/>
                <w:sz w:val="16"/>
                <w:szCs w:val="16"/>
              </w:rPr>
              <w:t>нално независим орган от Министерство на земедели</w:t>
            </w:r>
            <w:r w:rsidRPr="00BF749F">
              <w:rPr>
                <w:rFonts w:ascii="Verdana" w:eastAsia="Times New Roman" w:hAnsi="Verdana" w:cs="Times New Roman"/>
                <w:strike/>
                <w:kern w:val="0"/>
                <w:sz w:val="16"/>
                <w:szCs w:val="16"/>
              </w:rPr>
              <w:t>е</w:t>
            </w:r>
            <w:r w:rsidRPr="00BF749F">
              <w:rPr>
                <w:rFonts w:ascii="Verdana" w:eastAsia="Times New Roman" w:hAnsi="Verdana" w:cs="Times New Roman"/>
                <w:strike/>
                <w:kern w:val="0"/>
                <w:sz w:val="16"/>
                <w:szCs w:val="16"/>
              </w:rPr>
              <w:t>то, храните и горите и Държавен фонд „Земеделие“, съгласно чл.62 , пар.2 от регламент 1305/2013.</w:t>
            </w:r>
          </w:p>
          <w:p w:rsidR="00BF749F" w:rsidRPr="00BF749F" w:rsidRDefault="00BF749F" w:rsidP="00BF749F">
            <w:pPr>
              <w:widowControl/>
              <w:suppressAutoHyphens w:val="0"/>
              <w:autoSpaceDN/>
              <w:spacing w:after="0" w:line="240" w:lineRule="auto"/>
              <w:jc w:val="center"/>
              <w:textAlignment w:val="auto"/>
              <w:rPr>
                <w:rFonts w:ascii="Verdana" w:eastAsia="Times New Roman" w:hAnsi="Verdana" w:cs="Times New Roman"/>
                <w:b/>
                <w:kern w:val="0"/>
                <w:sz w:val="16"/>
                <w:szCs w:val="16"/>
              </w:rPr>
            </w:pPr>
          </w:p>
        </w:tc>
      </w:tr>
    </w:tbl>
    <w:p w:rsidR="00051D99" w:rsidRPr="00051D99" w:rsidRDefault="00051D99" w:rsidP="00051D99">
      <w:pPr>
        <w:widowControl/>
        <w:suppressAutoHyphens w:val="0"/>
        <w:autoSpaceDN/>
        <w:spacing w:after="0" w:line="360" w:lineRule="auto"/>
        <w:ind w:firstLine="708"/>
        <w:jc w:val="both"/>
        <w:textAlignment w:val="auto"/>
        <w:rPr>
          <w:rFonts w:ascii="Verdana" w:eastAsiaTheme="minorHAnsi" w:hAnsi="Verdana" w:cs="Times New Roman"/>
          <w:kern w:val="0"/>
          <w:sz w:val="20"/>
          <w:szCs w:val="20"/>
        </w:rPr>
      </w:pPr>
    </w:p>
    <w:p w:rsidR="00051D99" w:rsidRDefault="00051D99" w:rsidP="00E17BE8">
      <w:pPr>
        <w:widowControl/>
        <w:suppressAutoHyphens w:val="0"/>
        <w:autoSpaceDN/>
        <w:spacing w:after="0" w:line="360" w:lineRule="auto"/>
        <w:ind w:firstLine="708"/>
        <w:jc w:val="both"/>
        <w:textAlignment w:val="auto"/>
        <w:rPr>
          <w:rFonts w:ascii="Times New Roman" w:eastAsiaTheme="minorHAnsi" w:hAnsi="Times New Roman" w:cs="Times New Roman"/>
          <w:kern w:val="0"/>
          <w:sz w:val="24"/>
          <w:szCs w:val="24"/>
        </w:rPr>
      </w:pPr>
    </w:p>
    <w:p w:rsidR="006267D0" w:rsidRPr="00BF749F" w:rsidRDefault="006267D0" w:rsidP="006267D0">
      <w:pPr>
        <w:widowControl/>
        <w:suppressAutoHyphens w:val="0"/>
        <w:autoSpaceDN/>
        <w:spacing w:after="240" w:line="240" w:lineRule="auto"/>
        <w:jc w:val="both"/>
        <w:textAlignment w:val="auto"/>
        <w:rPr>
          <w:rFonts w:ascii="Times New Roman" w:eastAsia="Times New Roman" w:hAnsi="Times New Roman" w:cs="Times New Roman"/>
          <w:kern w:val="0"/>
          <w:sz w:val="20"/>
          <w:szCs w:val="20"/>
        </w:rPr>
      </w:pPr>
    </w:p>
    <w:p w:rsidR="00051D99" w:rsidRDefault="00051D99" w:rsidP="00E17BE8">
      <w:pPr>
        <w:widowControl/>
        <w:suppressAutoHyphens w:val="0"/>
        <w:autoSpaceDN/>
        <w:spacing w:after="0" w:line="360" w:lineRule="auto"/>
        <w:ind w:firstLine="708"/>
        <w:jc w:val="both"/>
        <w:textAlignment w:val="auto"/>
        <w:rPr>
          <w:rFonts w:ascii="Times New Roman" w:eastAsiaTheme="minorHAnsi" w:hAnsi="Times New Roman" w:cs="Times New Roman"/>
          <w:kern w:val="0"/>
          <w:sz w:val="24"/>
          <w:szCs w:val="24"/>
        </w:rPr>
      </w:pPr>
    </w:p>
    <w:p w:rsidR="00BF749F" w:rsidRPr="00051D99" w:rsidRDefault="00BF749F" w:rsidP="00BF749F">
      <w:pPr>
        <w:widowControl/>
        <w:suppressAutoHyphens w:val="0"/>
        <w:overflowPunct w:val="0"/>
        <w:autoSpaceDE w:val="0"/>
        <w:adjustRightInd w:val="0"/>
        <w:spacing w:after="0"/>
        <w:jc w:val="center"/>
        <w:rPr>
          <w:rFonts w:ascii="Times New Roman" w:eastAsia="Calibri" w:hAnsi="Times New Roman" w:cs="Times New Roman"/>
          <w:b/>
          <w:kern w:val="0"/>
          <w:sz w:val="24"/>
          <w:szCs w:val="24"/>
        </w:rPr>
      </w:pPr>
      <w:r w:rsidRPr="00051D99">
        <w:rPr>
          <w:rFonts w:ascii="Times New Roman" w:eastAsia="Calibri" w:hAnsi="Times New Roman" w:cs="Times New Roman"/>
          <w:b/>
          <w:kern w:val="0"/>
          <w:sz w:val="24"/>
          <w:szCs w:val="24"/>
        </w:rPr>
        <w:t>3.3  Предложения за изменения и допълнения в мярка 19 „Подкрепа за местно развитие по LEADER (ВОМР — водено от общностите местно развитие) (член 35 от Регламент (ЕС) № 1303/2013)“ на Програмата за развитие на селските райони 2014 – 2020 г. за пре</w:t>
      </w:r>
      <w:r w:rsidRPr="00051D99">
        <w:rPr>
          <w:rFonts w:ascii="Times New Roman" w:eastAsia="Calibri" w:hAnsi="Times New Roman" w:cs="Times New Roman"/>
          <w:b/>
          <w:kern w:val="0"/>
          <w:sz w:val="24"/>
          <w:szCs w:val="24"/>
        </w:rPr>
        <w:t>д</w:t>
      </w:r>
      <w:r w:rsidRPr="00051D99">
        <w:rPr>
          <w:rFonts w:ascii="Times New Roman" w:eastAsia="Calibri" w:hAnsi="Times New Roman" w:cs="Times New Roman"/>
          <w:b/>
          <w:kern w:val="0"/>
          <w:sz w:val="24"/>
          <w:szCs w:val="24"/>
        </w:rPr>
        <w:t>ставяне и одобрение на заседание на Комитета по наблюдение на ПРСР 2014-2020 г. на 11.12.2018 г.</w:t>
      </w:r>
    </w:p>
    <w:p w:rsidR="00BF749F" w:rsidRPr="00051D99" w:rsidRDefault="00BF749F" w:rsidP="00BF749F">
      <w:pPr>
        <w:widowControl/>
        <w:suppressAutoHyphens w:val="0"/>
        <w:overflowPunct w:val="0"/>
        <w:autoSpaceDE w:val="0"/>
        <w:adjustRightInd w:val="0"/>
        <w:spacing w:after="0"/>
        <w:jc w:val="both"/>
        <w:rPr>
          <w:rFonts w:ascii="Times New Roman" w:eastAsia="Calibri" w:hAnsi="Times New Roman" w:cs="Times New Roman"/>
          <w:b/>
          <w:kern w:val="0"/>
          <w:sz w:val="24"/>
          <w:szCs w:val="24"/>
        </w:rPr>
      </w:pPr>
    </w:p>
    <w:p w:rsidR="00BF749F" w:rsidRPr="00051D99" w:rsidRDefault="00BF749F" w:rsidP="00386C69">
      <w:pPr>
        <w:widowControl/>
        <w:numPr>
          <w:ilvl w:val="0"/>
          <w:numId w:val="39"/>
        </w:numPr>
        <w:suppressAutoHyphens w:val="0"/>
        <w:overflowPunct w:val="0"/>
        <w:autoSpaceDE w:val="0"/>
        <w:adjustRightInd w:val="0"/>
        <w:spacing w:after="0" w:line="240" w:lineRule="auto"/>
        <w:jc w:val="both"/>
        <w:rPr>
          <w:rFonts w:ascii="Times New Roman" w:eastAsia="Calibri" w:hAnsi="Times New Roman" w:cs="Times New Roman"/>
          <w:b/>
          <w:kern w:val="0"/>
          <w:sz w:val="24"/>
          <w:szCs w:val="24"/>
        </w:rPr>
      </w:pPr>
      <w:r w:rsidRPr="00051D99">
        <w:rPr>
          <w:rFonts w:ascii="Times New Roman" w:eastAsia="Calibri" w:hAnsi="Times New Roman" w:cs="Times New Roman"/>
          <w:b/>
          <w:kern w:val="0"/>
          <w:sz w:val="24"/>
          <w:szCs w:val="24"/>
        </w:rPr>
        <w:t>Промени в текста на мярка 19 „Подкрепа за местно развитие по LEADER (ВОМР — водено от общностите местно развитие) (член 35 от Регламент (ЕС) № 1303/2013)“</w:t>
      </w:r>
    </w:p>
    <w:p w:rsidR="00BF749F" w:rsidRPr="00051D99" w:rsidRDefault="00BF749F" w:rsidP="00BF749F">
      <w:pPr>
        <w:keepNext/>
        <w:widowControl/>
        <w:suppressAutoHyphens w:val="0"/>
        <w:overflowPunct w:val="0"/>
        <w:autoSpaceDE w:val="0"/>
        <w:adjustRightInd w:val="0"/>
        <w:spacing w:before="100" w:beforeAutospacing="1" w:after="100" w:afterAutospacing="1"/>
        <w:jc w:val="both"/>
        <w:outlineLvl w:val="4"/>
        <w:rPr>
          <w:rFonts w:ascii="Times New Roman" w:eastAsia="Calibri" w:hAnsi="Times New Roman" w:cs="Times New Roman"/>
          <w:bCs/>
          <w:kern w:val="0"/>
          <w:sz w:val="24"/>
          <w:szCs w:val="24"/>
        </w:rPr>
      </w:pPr>
    </w:p>
    <w:p w:rsidR="00BF749F" w:rsidRPr="00051D99" w:rsidRDefault="00BF749F" w:rsidP="00BF749F">
      <w:pPr>
        <w:keepNext/>
        <w:widowControl/>
        <w:suppressAutoHyphens w:val="0"/>
        <w:overflowPunct w:val="0"/>
        <w:autoSpaceDE w:val="0"/>
        <w:adjustRightInd w:val="0"/>
        <w:spacing w:before="100" w:beforeAutospacing="1" w:after="100" w:afterAutospacing="1"/>
        <w:jc w:val="both"/>
        <w:outlineLvl w:val="4"/>
        <w:rPr>
          <w:rFonts w:ascii="Times New Roman" w:eastAsia="Calibri" w:hAnsi="Times New Roman" w:cs="Times New Roman"/>
          <w:b/>
          <w:bCs/>
          <w:color w:val="FF0000"/>
          <w:kern w:val="0"/>
          <w:sz w:val="24"/>
          <w:szCs w:val="24"/>
        </w:rPr>
      </w:pPr>
      <w:r w:rsidRPr="00051D99">
        <w:rPr>
          <w:rFonts w:ascii="Times New Roman" w:eastAsia="Calibri" w:hAnsi="Times New Roman" w:cs="Times New Roman"/>
          <w:bCs/>
          <w:kern w:val="0"/>
          <w:sz w:val="24"/>
          <w:szCs w:val="24"/>
        </w:rPr>
        <w:t xml:space="preserve">В текста на </w:t>
      </w:r>
      <w:r w:rsidRPr="00051D99">
        <w:rPr>
          <w:rFonts w:ascii="Times New Roman" w:eastAsia="Calibri" w:hAnsi="Times New Roman" w:cs="Times New Roman"/>
          <w:kern w:val="0"/>
          <w:sz w:val="24"/>
          <w:szCs w:val="24"/>
        </w:rPr>
        <w:t>мярка 19 „Подкрепа за местно развитие по LEADER (ВОМР — водено от общно</w:t>
      </w:r>
      <w:r w:rsidRPr="00051D99">
        <w:rPr>
          <w:rFonts w:ascii="Times New Roman" w:eastAsia="Calibri" w:hAnsi="Times New Roman" w:cs="Times New Roman"/>
          <w:kern w:val="0"/>
          <w:sz w:val="24"/>
          <w:szCs w:val="24"/>
        </w:rPr>
        <w:t>с</w:t>
      </w:r>
      <w:r w:rsidRPr="00051D99">
        <w:rPr>
          <w:rFonts w:ascii="Times New Roman" w:eastAsia="Calibri" w:hAnsi="Times New Roman" w:cs="Times New Roman"/>
          <w:kern w:val="0"/>
          <w:sz w:val="24"/>
          <w:szCs w:val="24"/>
        </w:rPr>
        <w:t>тите местно развитие) (член 35 от Регламент (ЕС) № 1303/2013)“, подраздел 8.2.15.5. „Мет</w:t>
      </w:r>
      <w:r w:rsidRPr="00051D99">
        <w:rPr>
          <w:rFonts w:ascii="Times New Roman" w:eastAsia="Calibri" w:hAnsi="Times New Roman" w:cs="Times New Roman"/>
          <w:kern w:val="0"/>
          <w:sz w:val="24"/>
          <w:szCs w:val="24"/>
        </w:rPr>
        <w:t>о</w:t>
      </w:r>
      <w:r w:rsidRPr="00051D99">
        <w:rPr>
          <w:rFonts w:ascii="Times New Roman" w:eastAsia="Calibri" w:hAnsi="Times New Roman" w:cs="Times New Roman"/>
          <w:kern w:val="0"/>
          <w:sz w:val="24"/>
          <w:szCs w:val="24"/>
        </w:rPr>
        <w:t xml:space="preserve">дология за изчисляване на размера или процента на подпомагане, когато е уместно“, се прави </w:t>
      </w:r>
      <w:r w:rsidRPr="00051D99">
        <w:rPr>
          <w:rFonts w:ascii="Times New Roman" w:eastAsia="Calibri" w:hAnsi="Times New Roman" w:cs="Times New Roman"/>
          <w:kern w:val="0"/>
          <w:sz w:val="24"/>
          <w:szCs w:val="24"/>
        </w:rPr>
        <w:lastRenderedPageBreak/>
        <w:t>промяна в описанието на методологията за определяне на възможността за прилагане на о</w:t>
      </w:r>
      <w:r w:rsidRPr="00051D99">
        <w:rPr>
          <w:rFonts w:ascii="Times New Roman" w:eastAsia="Calibri" w:hAnsi="Times New Roman" w:cs="Times New Roman"/>
          <w:kern w:val="0"/>
          <w:sz w:val="24"/>
          <w:szCs w:val="24"/>
        </w:rPr>
        <w:t>п</w:t>
      </w:r>
      <w:r w:rsidRPr="00051D99">
        <w:rPr>
          <w:rFonts w:ascii="Times New Roman" w:eastAsia="Calibri" w:hAnsi="Times New Roman" w:cs="Times New Roman"/>
          <w:kern w:val="0"/>
          <w:sz w:val="24"/>
          <w:szCs w:val="24"/>
        </w:rPr>
        <w:t xml:space="preserve">ростени разходи, тъй като Управляващият орган на ПРСР 2014 – 2020 г. възложи изготвянето на нова методология. </w:t>
      </w:r>
    </w:p>
    <w:p w:rsidR="00BF749F" w:rsidRPr="00051D99" w:rsidRDefault="00BF749F" w:rsidP="00BF749F">
      <w:pPr>
        <w:keepNext/>
        <w:widowControl/>
        <w:suppressAutoHyphens w:val="0"/>
        <w:overflowPunct w:val="0"/>
        <w:autoSpaceDE w:val="0"/>
        <w:adjustRightInd w:val="0"/>
        <w:spacing w:before="100" w:beforeAutospacing="1" w:after="100" w:afterAutospacing="1"/>
        <w:jc w:val="both"/>
        <w:outlineLvl w:val="4"/>
        <w:rPr>
          <w:rFonts w:ascii="Times New Roman" w:eastAsia="Calibri" w:hAnsi="Times New Roman" w:cs="Times New Roman"/>
          <w:bCs/>
          <w:kern w:val="0"/>
          <w:sz w:val="24"/>
          <w:szCs w:val="24"/>
        </w:rPr>
      </w:pPr>
      <w:r w:rsidRPr="00051D99">
        <w:rPr>
          <w:rFonts w:ascii="Times New Roman" w:eastAsia="Calibri" w:hAnsi="Times New Roman" w:cs="Times New Roman"/>
          <w:bCs/>
          <w:kern w:val="0"/>
          <w:sz w:val="24"/>
          <w:szCs w:val="24"/>
        </w:rPr>
        <w:t>8.2.15.5. Методология за изчисляване на размера или процента на подпомагане, когато е уме</w:t>
      </w:r>
      <w:r w:rsidRPr="00051D99">
        <w:rPr>
          <w:rFonts w:ascii="Times New Roman" w:eastAsia="Calibri" w:hAnsi="Times New Roman" w:cs="Times New Roman"/>
          <w:bCs/>
          <w:kern w:val="0"/>
          <w:sz w:val="24"/>
          <w:szCs w:val="24"/>
        </w:rPr>
        <w:t>с</w:t>
      </w:r>
      <w:r w:rsidRPr="00051D99">
        <w:rPr>
          <w:rFonts w:ascii="Times New Roman" w:eastAsia="Calibri" w:hAnsi="Times New Roman" w:cs="Times New Roman"/>
          <w:bCs/>
          <w:kern w:val="0"/>
          <w:sz w:val="24"/>
          <w:szCs w:val="24"/>
        </w:rPr>
        <w:t>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BF749F" w:rsidRPr="00051D99" w:rsidTr="00BF749F">
        <w:tc>
          <w:tcPr>
            <w:tcW w:w="450" w:type="pct"/>
            <w:shd w:val="clear" w:color="auto" w:fill="auto"/>
            <w:tcMar>
              <w:top w:w="20" w:type="dxa"/>
              <w:bottom w:w="20" w:type="dxa"/>
            </w:tcMar>
            <w:vAlign w:val="center"/>
          </w:tcPr>
          <w:p w:rsidR="00BF749F" w:rsidRPr="00051D99" w:rsidRDefault="00BF749F" w:rsidP="00BF749F">
            <w:pPr>
              <w:widowControl/>
              <w:suppressAutoHyphens w:val="0"/>
              <w:overflowPunct w:val="0"/>
              <w:autoSpaceDE w:val="0"/>
              <w:adjustRightInd w:val="0"/>
              <w:spacing w:after="24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Определянето на възможността за прилагане на опростени разходи за мярка 19 Водено от о</w:t>
            </w:r>
            <w:r w:rsidRPr="00051D99">
              <w:rPr>
                <w:rFonts w:ascii="Times New Roman" w:eastAsia="Times New Roman" w:hAnsi="Times New Roman" w:cs="Times New Roman"/>
                <w:kern w:val="0"/>
                <w:sz w:val="24"/>
                <w:szCs w:val="24"/>
              </w:rPr>
              <w:t>б</w:t>
            </w:r>
            <w:r w:rsidRPr="00051D99">
              <w:rPr>
                <w:rFonts w:ascii="Times New Roman" w:eastAsia="Times New Roman" w:hAnsi="Times New Roman" w:cs="Times New Roman"/>
                <w:kern w:val="0"/>
                <w:sz w:val="24"/>
                <w:szCs w:val="24"/>
              </w:rPr>
              <w:t>щностите местно развитие се основава на чл. 62 от Регламент (ЕС) № 1305/2013 на Европей</w:t>
            </w:r>
            <w:r w:rsidRPr="00051D99">
              <w:rPr>
                <w:rFonts w:ascii="Times New Roman" w:eastAsia="Times New Roman" w:hAnsi="Times New Roman" w:cs="Times New Roman"/>
                <w:kern w:val="0"/>
                <w:sz w:val="24"/>
                <w:szCs w:val="24"/>
              </w:rPr>
              <w:t>с</w:t>
            </w:r>
            <w:r w:rsidRPr="00051D99">
              <w:rPr>
                <w:rFonts w:ascii="Times New Roman" w:eastAsia="Times New Roman" w:hAnsi="Times New Roman" w:cs="Times New Roman"/>
                <w:kern w:val="0"/>
                <w:sz w:val="24"/>
                <w:szCs w:val="24"/>
              </w:rPr>
              <w:t>кия парламент и на Съвета от 17 декември 2013 г. и чл. 67 от Регламент (ЕС) № 1303/2013 на Европейския парламент и на Съвета от 17 декември 2013 г.</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 xml:space="preserve">От предложените принципи за изчисляване на опростени разходи са използвани стандартните таблици на единичните разходи за допустимите разходи. Разходите се изчисляват въз основа на пазарно проучване и са представени в стандартни таблици на единичните разходи. </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Подходът на изчисление е пазарен, т.е. използван е метод на сравнителните аналози. При този метод за оценка стойността се определя чрез пряко сравнение на пазарни цени на продукти или услуги със сходни характеристики, към определен момент.</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За разработването на конкретните стойности на ставките са приложени стандартни методи на статистически и финансов анализ, с широко приложение при икономически и други проучв</w:t>
            </w:r>
            <w:r w:rsidRPr="00051D99">
              <w:rPr>
                <w:rFonts w:ascii="Times New Roman" w:eastAsia="Times New Roman" w:hAnsi="Times New Roman" w:cs="Times New Roman"/>
                <w:kern w:val="0"/>
                <w:sz w:val="24"/>
                <w:szCs w:val="24"/>
              </w:rPr>
              <w:t>а</w:t>
            </w:r>
            <w:r w:rsidRPr="00051D99">
              <w:rPr>
                <w:rFonts w:ascii="Times New Roman" w:eastAsia="Times New Roman" w:hAnsi="Times New Roman" w:cs="Times New Roman"/>
                <w:kern w:val="0"/>
                <w:sz w:val="24"/>
                <w:szCs w:val="24"/>
              </w:rPr>
              <w:t>ния. Целта е да се използват общоприети и надеждни методи за анализ, за да се достигне до резултати и заключения, които:</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 xml:space="preserve">са обосновани от гледна точка на реалните исторически данни; </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са проверими и възпроизведими (при нужда със същите, разширени или нови данни);</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са съобразени и съпоставени спрямо детайлните бюджети;</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са съобразени с практиката в други страни-членки за анализ и извеждане на опростени разходи;</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не крият риск от неравнопоставеност;</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имат добро покритие на наблюдения;</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са подкрепени и от пазарните условия в страната.</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В изследването са използвани елементи на дескриптивната статистика. Чрез нея се постига количествено описание на основните характеристики на извадката (и съответно съвкупнос</w:t>
            </w:r>
            <w:r w:rsidRPr="00051D99">
              <w:rPr>
                <w:rFonts w:ascii="Times New Roman" w:eastAsia="Times New Roman" w:hAnsi="Times New Roman" w:cs="Times New Roman"/>
                <w:kern w:val="0"/>
                <w:sz w:val="24"/>
                <w:szCs w:val="24"/>
              </w:rPr>
              <w:t>т</w:t>
            </w:r>
            <w:r w:rsidRPr="00051D99">
              <w:rPr>
                <w:rFonts w:ascii="Times New Roman" w:eastAsia="Times New Roman" w:hAnsi="Times New Roman" w:cs="Times New Roman"/>
                <w:kern w:val="0"/>
                <w:sz w:val="24"/>
                <w:szCs w:val="24"/>
              </w:rPr>
              <w:t>та). Статистическите средни величини представляват обобщаващи числови характеристики на общото на единиците в съответната съвкупност. Статистическите средни величини, които са ползвани в анализа, представляват средна аритметична величина: сумата на стойностите ра</w:t>
            </w:r>
            <w:r w:rsidRPr="00051D99">
              <w:rPr>
                <w:rFonts w:ascii="Times New Roman" w:eastAsia="Times New Roman" w:hAnsi="Times New Roman" w:cs="Times New Roman"/>
                <w:kern w:val="0"/>
                <w:sz w:val="24"/>
                <w:szCs w:val="24"/>
              </w:rPr>
              <w:t>з</w:t>
            </w:r>
            <w:r w:rsidRPr="00051D99">
              <w:rPr>
                <w:rFonts w:ascii="Times New Roman" w:eastAsia="Times New Roman" w:hAnsi="Times New Roman" w:cs="Times New Roman"/>
                <w:kern w:val="0"/>
                <w:sz w:val="24"/>
                <w:szCs w:val="24"/>
              </w:rPr>
              <w:t>делен на броя на стойностите (обичаен метод за изчисление при негрупирани данни); Формула за средна аритметична стойност:</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p>
          <w:p w:rsidR="00BF749F" w:rsidRPr="00051D99" w:rsidRDefault="00B14633" w:rsidP="00BF749F">
            <w:pPr>
              <w:widowControl/>
              <w:suppressAutoHyphens w:val="0"/>
              <w:overflowPunct w:val="0"/>
              <w:autoSpaceDE w:val="0"/>
              <w:adjustRightInd w:val="0"/>
              <w:spacing w:after="0" w:line="240" w:lineRule="auto"/>
              <w:jc w:val="center"/>
              <w:rPr>
                <w:rFonts w:ascii="Times New Roman" w:eastAsia="Times New Roman" w:hAnsi="Times New Roman" w:cs="Times New Roman"/>
                <w:kern w:val="0"/>
                <w:sz w:val="24"/>
                <w:szCs w:val="24"/>
              </w:rPr>
            </w:pPr>
            <m:oMath>
              <m:acc>
                <m:accPr>
                  <m:chr m:val="̅"/>
                  <m:ctrlPr>
                    <w:rPr>
                      <w:rFonts w:ascii="Cambria Math" w:eastAsia="Calibri" w:hAnsi="Cambria Math"/>
                      <w:color w:val="000000"/>
                      <w:sz w:val="24"/>
                      <w:szCs w:val="24"/>
                    </w:rPr>
                  </m:ctrlPr>
                </m:accPr>
                <m:e>
                  <m:r>
                    <m:rPr>
                      <m:sty m:val="p"/>
                    </m:rPr>
                    <w:rPr>
                      <w:rFonts w:ascii="Cambria Math" w:eastAsia="Calibri" w:hAnsi="Cambria Math"/>
                      <w:color w:val="000000"/>
                      <w:sz w:val="24"/>
                      <w:szCs w:val="24"/>
                    </w:rPr>
                    <m:t>x</m:t>
                  </m:r>
                </m:e>
              </m:acc>
              <m:r>
                <m:rPr>
                  <m:sty m:val="p"/>
                </m:rPr>
                <w:rPr>
                  <w:rFonts w:ascii="Cambria Math" w:eastAsia="Calibri" w:hAnsi="Cambria Math"/>
                  <w:color w:val="000000"/>
                  <w:sz w:val="24"/>
                  <w:szCs w:val="24"/>
                </w:rPr>
                <m:t>=</m:t>
              </m:r>
              <m:f>
                <m:fPr>
                  <m:ctrlPr>
                    <w:rPr>
                      <w:rFonts w:ascii="Cambria Math" w:eastAsia="Calibri" w:hAnsi="Cambria Math"/>
                      <w:color w:val="000000"/>
                      <w:sz w:val="24"/>
                      <w:szCs w:val="24"/>
                    </w:rPr>
                  </m:ctrlPr>
                </m:fPr>
                <m:num>
                  <m:r>
                    <m:rPr>
                      <m:sty m:val="p"/>
                    </m:rPr>
                    <w:rPr>
                      <w:rFonts w:ascii="Cambria Math" w:eastAsia="Calibri" w:hAnsi="Cambria Math"/>
                      <w:color w:val="000000"/>
                      <w:sz w:val="24"/>
                      <w:szCs w:val="24"/>
                    </w:rPr>
                    <m:t>∑x</m:t>
                  </m:r>
                </m:num>
                <m:den>
                  <m:r>
                    <m:rPr>
                      <m:sty m:val="p"/>
                    </m:rPr>
                    <w:rPr>
                      <w:rFonts w:ascii="Cambria Math" w:eastAsia="Calibri" w:hAnsi="Cambria Math"/>
                      <w:color w:val="000000"/>
                      <w:sz w:val="24"/>
                      <w:szCs w:val="24"/>
                    </w:rPr>
                    <m:t>n</m:t>
                  </m:r>
                </m:den>
              </m:f>
            </m:oMath>
            <w:r w:rsidR="00BF749F" w:rsidRPr="00051D99">
              <w:rPr>
                <w:rFonts w:ascii="Arial" w:eastAsia="Times New Roman" w:hAnsi="Arial" w:cs="Times New Roman"/>
                <w:kern w:val="0"/>
                <w:sz w:val="20"/>
                <w:szCs w:val="20"/>
              </w:rPr>
              <w:t xml:space="preserve">    </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където:</w:t>
            </w:r>
          </w:p>
          <w:p w:rsidR="00BF749F" w:rsidRPr="00051D99" w:rsidRDefault="00B14633"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m:oMath>
              <m:acc>
                <m:accPr>
                  <m:chr m:val="̅"/>
                  <m:ctrlPr>
                    <w:rPr>
                      <w:rFonts w:ascii="Cambria Math" w:eastAsia="Calibri" w:hAnsi="Cambria Math"/>
                      <w:i/>
                      <w:color w:val="000000"/>
                      <w:sz w:val="24"/>
                      <w:szCs w:val="24"/>
                    </w:rPr>
                  </m:ctrlPr>
                </m:accPr>
                <m:e>
                  <m:r>
                    <w:rPr>
                      <w:rFonts w:ascii="Cambria Math" w:eastAsia="Calibri" w:hAnsi="Cambria Math"/>
                      <w:color w:val="000000"/>
                      <w:sz w:val="24"/>
                      <w:szCs w:val="24"/>
                    </w:rPr>
                    <m:t>x</m:t>
                  </m:r>
                </m:e>
              </m:acc>
            </m:oMath>
            <w:r w:rsidR="00BF749F" w:rsidRPr="00051D99">
              <w:rPr>
                <w:rFonts w:ascii="Times New Roman" w:eastAsia="Times New Roman" w:hAnsi="Times New Roman" w:cs="Times New Roman"/>
                <w:kern w:val="0"/>
                <w:sz w:val="24"/>
                <w:szCs w:val="24"/>
              </w:rPr>
              <w:t xml:space="preserve"> - средна аритметична;</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∑x - сума от стойностите на показателя;</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n - броя на случаите.</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Част от данните включени в индикативните нива на опростените разходи са на база истор</w:t>
            </w:r>
            <w:r w:rsidRPr="00051D99">
              <w:rPr>
                <w:rFonts w:ascii="Times New Roman" w:eastAsia="Times New Roman" w:hAnsi="Times New Roman" w:cs="Times New Roman"/>
                <w:kern w:val="0"/>
                <w:sz w:val="24"/>
                <w:szCs w:val="24"/>
              </w:rPr>
              <w:t>и</w:t>
            </w:r>
            <w:r w:rsidRPr="00051D99">
              <w:rPr>
                <w:rFonts w:ascii="Times New Roman" w:eastAsia="Times New Roman" w:hAnsi="Times New Roman" w:cs="Times New Roman"/>
                <w:kern w:val="0"/>
                <w:sz w:val="24"/>
                <w:szCs w:val="24"/>
              </w:rPr>
              <w:t>чески период и законово признати нормативни документи.</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Целта е да се използват общоприети и надеждни методи за анализ, за да се достигне до резу</w:t>
            </w:r>
            <w:r w:rsidRPr="00051D99">
              <w:rPr>
                <w:rFonts w:ascii="Times New Roman" w:eastAsia="Times New Roman" w:hAnsi="Times New Roman" w:cs="Times New Roman"/>
                <w:kern w:val="0"/>
                <w:sz w:val="24"/>
                <w:szCs w:val="24"/>
              </w:rPr>
              <w:t>л</w:t>
            </w:r>
            <w:r w:rsidRPr="00051D99">
              <w:rPr>
                <w:rFonts w:ascii="Times New Roman" w:eastAsia="Times New Roman" w:hAnsi="Times New Roman" w:cs="Times New Roman"/>
                <w:kern w:val="0"/>
                <w:sz w:val="24"/>
                <w:szCs w:val="24"/>
              </w:rPr>
              <w:t>тати и заключения, които:</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 xml:space="preserve">са обосновани от гледна точка на реалните исторически данни; </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са обосновани от гледна точка на общоприети и широко използвани статистически ан</w:t>
            </w:r>
            <w:r w:rsidRPr="00051D99">
              <w:rPr>
                <w:rFonts w:ascii="Times New Roman" w:eastAsia="Times New Roman" w:hAnsi="Times New Roman" w:cs="Times New Roman"/>
                <w:kern w:val="0"/>
                <w:sz w:val="24"/>
                <w:szCs w:val="24"/>
              </w:rPr>
              <w:t>а</w:t>
            </w:r>
            <w:r w:rsidRPr="00051D99">
              <w:rPr>
                <w:rFonts w:ascii="Times New Roman" w:eastAsia="Times New Roman" w:hAnsi="Times New Roman" w:cs="Times New Roman"/>
                <w:kern w:val="0"/>
                <w:sz w:val="24"/>
                <w:szCs w:val="24"/>
              </w:rPr>
              <w:t>лизи, прилагани и в други страни-членки за извеждане на опростени разходи;</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са проверими и възпроизведими (при нужда със същите, разширени или нови данни);</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lastRenderedPageBreak/>
              <w:t>са съобразени и съпоставени спрямо детайлните бюджети;</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са съобразени с практиката в други страни-членки за анализ и извеждане на опростени разходи;</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не крият риск от неравнопоставеност (според изискванията на Европейската комисия);</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имат добро покритие на наблюдения;</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са подкрепени и от пазарните условия в страната.</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Използваната методология включва:</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описанието на метода на изчисление, в това число основните етапи на изчислението;</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източниците на данните, които са използвани за анализа и изчислението, включително оценка на значението на данните по отношение на предвидените операции и оценка на качеството им;</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самото изчисление за определяне на съответната стойност на единната ставка на разм</w:t>
            </w:r>
            <w:r w:rsidRPr="00051D99">
              <w:rPr>
                <w:rFonts w:ascii="Times New Roman" w:eastAsia="Times New Roman" w:hAnsi="Times New Roman" w:cs="Times New Roman"/>
                <w:kern w:val="0"/>
                <w:sz w:val="24"/>
                <w:szCs w:val="24"/>
              </w:rPr>
              <w:t>е</w:t>
            </w:r>
            <w:r w:rsidRPr="00051D99">
              <w:rPr>
                <w:rFonts w:ascii="Times New Roman" w:eastAsia="Times New Roman" w:hAnsi="Times New Roman" w:cs="Times New Roman"/>
                <w:kern w:val="0"/>
                <w:sz w:val="24"/>
                <w:szCs w:val="24"/>
              </w:rPr>
              <w:t>рите на сумите за финансиране на дейности за организация и управление на проекти;</w:t>
            </w:r>
          </w:p>
          <w:p w:rsidR="00BF749F" w:rsidRPr="00051D99" w:rsidRDefault="00BF749F" w:rsidP="00386C69">
            <w:pPr>
              <w:widowControl/>
              <w:numPr>
                <w:ilvl w:val="0"/>
                <w:numId w:val="40"/>
              </w:numPr>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kern w:val="0"/>
                <w:sz w:val="24"/>
                <w:szCs w:val="24"/>
              </w:rPr>
              <w:t>мотивите за избор на данни в съвкупността, на база на които ще бъде определена еди</w:t>
            </w:r>
            <w:r w:rsidRPr="00051D99">
              <w:rPr>
                <w:rFonts w:ascii="Times New Roman" w:eastAsia="Times New Roman" w:hAnsi="Times New Roman" w:cs="Times New Roman"/>
                <w:kern w:val="0"/>
                <w:sz w:val="24"/>
                <w:szCs w:val="24"/>
              </w:rPr>
              <w:t>н</w:t>
            </w:r>
            <w:r w:rsidRPr="00051D99">
              <w:rPr>
                <w:rFonts w:ascii="Times New Roman" w:eastAsia="Times New Roman" w:hAnsi="Times New Roman" w:cs="Times New Roman"/>
                <w:kern w:val="0"/>
                <w:sz w:val="24"/>
                <w:szCs w:val="24"/>
              </w:rPr>
              <w:t>ната ставка.</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051D99">
              <w:rPr>
                <w:rFonts w:ascii="Times New Roman" w:eastAsia="Times New Roman" w:hAnsi="Times New Roman" w:cs="Times New Roman"/>
                <w:b/>
                <w:color w:val="000000"/>
                <w:kern w:val="0"/>
                <w:sz w:val="24"/>
                <w:szCs w:val="24"/>
              </w:rPr>
              <w:t>Етапи на избор и прилагане на методология:</w:t>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r w:rsidRPr="00B22490">
              <w:rPr>
                <w:rFonts w:ascii="Times New Roman" w:eastAsia="Calibri" w:hAnsi="Times New Roman" w:cs="Times New Roman"/>
                <w:noProof/>
                <w:color w:val="000000"/>
                <w:kern w:val="0"/>
                <w:sz w:val="24"/>
                <w:szCs w:val="24"/>
                <w:lang w:val="en-US"/>
              </w:rPr>
              <w:drawing>
                <wp:inline distT="0" distB="0" distL="0" distR="0" wp14:anchorId="45AFFFCE" wp14:editId="0BF56BDD">
                  <wp:extent cx="4251960" cy="5060950"/>
                  <wp:effectExtent l="266700" t="304800" r="281940" b="63500"/>
                  <wp:docPr id="4" name="Di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p>
          <w:p w:rsidR="00BF749F" w:rsidRPr="00051D99" w:rsidRDefault="00BF749F" w:rsidP="00BF749F">
            <w:pPr>
              <w:widowControl/>
              <w:suppressAutoHyphens w:val="0"/>
              <w:overflowPunct w:val="0"/>
              <w:autoSpaceDE w:val="0"/>
              <w:adjustRightInd w:val="0"/>
              <w:spacing w:after="0" w:line="240" w:lineRule="auto"/>
              <w:jc w:val="both"/>
              <w:rPr>
                <w:rFonts w:ascii="Times New Roman" w:eastAsia="Times New Roman" w:hAnsi="Times New Roman" w:cs="Times New Roman"/>
                <w:kern w:val="0"/>
                <w:sz w:val="24"/>
                <w:szCs w:val="24"/>
              </w:rPr>
            </w:pPr>
          </w:p>
          <w:p w:rsidR="00BF749F" w:rsidRPr="00051D99" w:rsidRDefault="00BF749F" w:rsidP="00BF749F">
            <w:pPr>
              <w:widowControl/>
              <w:suppressAutoHyphens w:val="0"/>
              <w:overflowPunct w:val="0"/>
              <w:autoSpaceDE w:val="0"/>
              <w:adjustRightInd w:val="0"/>
              <w:spacing w:after="240" w:line="240" w:lineRule="auto"/>
              <w:jc w:val="both"/>
              <w:rPr>
                <w:rFonts w:ascii="Times New Roman" w:eastAsia="Times New Roman" w:hAnsi="Times New Roman" w:cs="Times New Roman"/>
                <w:kern w:val="0"/>
                <w:sz w:val="24"/>
                <w:szCs w:val="20"/>
              </w:rPr>
            </w:pPr>
            <w:r w:rsidRPr="00051D99">
              <w:rPr>
                <w:rFonts w:ascii="Times New Roman" w:eastAsia="Times New Roman" w:hAnsi="Times New Roman" w:cs="Times New Roman"/>
                <w:kern w:val="0"/>
                <w:sz w:val="24"/>
                <w:szCs w:val="24"/>
              </w:rPr>
              <w:t>Изчисленията на стандартните разходи са извършени от екип на Университета за национално и световно стопанство, гр. София, който е функционално независим орган от Министерство на земеделието, храните и горите и Държавен фонд „Земеделие“, съгласно чл. 62, пар. 2 от Ре</w:t>
            </w:r>
            <w:r w:rsidRPr="00051D99">
              <w:rPr>
                <w:rFonts w:ascii="Times New Roman" w:eastAsia="Times New Roman" w:hAnsi="Times New Roman" w:cs="Times New Roman"/>
                <w:kern w:val="0"/>
                <w:sz w:val="24"/>
                <w:szCs w:val="24"/>
              </w:rPr>
              <w:t>г</w:t>
            </w:r>
            <w:r w:rsidRPr="00051D99">
              <w:rPr>
                <w:rFonts w:ascii="Times New Roman" w:eastAsia="Times New Roman" w:hAnsi="Times New Roman" w:cs="Times New Roman"/>
                <w:kern w:val="0"/>
                <w:sz w:val="24"/>
                <w:szCs w:val="24"/>
              </w:rPr>
              <w:t>ламент 1305/2013 и който притежава подходящите експертни знания. Методиката е предст</w:t>
            </w:r>
            <w:r w:rsidRPr="00051D99">
              <w:rPr>
                <w:rFonts w:ascii="Times New Roman" w:eastAsia="Times New Roman" w:hAnsi="Times New Roman" w:cs="Times New Roman"/>
                <w:kern w:val="0"/>
                <w:sz w:val="24"/>
                <w:szCs w:val="24"/>
              </w:rPr>
              <w:t>а</w:t>
            </w:r>
            <w:r w:rsidRPr="00051D99">
              <w:rPr>
                <w:rFonts w:ascii="Times New Roman" w:eastAsia="Times New Roman" w:hAnsi="Times New Roman" w:cs="Times New Roman"/>
                <w:kern w:val="0"/>
                <w:sz w:val="24"/>
                <w:szCs w:val="24"/>
              </w:rPr>
              <w:lastRenderedPageBreak/>
              <w:t>вена в Приложение № 17 към програмата.</w:t>
            </w:r>
          </w:p>
        </w:tc>
      </w:tr>
    </w:tbl>
    <w:p w:rsidR="00BF749F" w:rsidRDefault="00BF749F" w:rsidP="00BF749F">
      <w:pPr>
        <w:widowControl/>
        <w:suppressAutoHyphens w:val="0"/>
        <w:autoSpaceDN/>
        <w:spacing w:after="0" w:line="360" w:lineRule="auto"/>
        <w:jc w:val="both"/>
        <w:textAlignment w:val="auto"/>
        <w:rPr>
          <w:rFonts w:ascii="Times New Roman" w:eastAsiaTheme="minorHAnsi" w:hAnsi="Times New Roman" w:cs="Times New Roman"/>
          <w:kern w:val="0"/>
          <w:sz w:val="24"/>
          <w:szCs w:val="24"/>
        </w:rPr>
      </w:pPr>
    </w:p>
    <w:p w:rsidR="00C9352C" w:rsidRDefault="00C9352C" w:rsidP="00A50C94">
      <w:pPr>
        <w:widowControl/>
        <w:suppressAutoHyphens w:val="0"/>
        <w:autoSpaceDN/>
        <w:spacing w:after="0" w:line="360" w:lineRule="auto"/>
        <w:ind w:left="708"/>
        <w:jc w:val="right"/>
        <w:textAlignment w:val="auto"/>
        <w:rPr>
          <w:rFonts w:ascii="Times New Roman" w:eastAsiaTheme="minorHAnsi" w:hAnsi="Times New Roman" w:cs="Times New Roman"/>
          <w:b/>
          <w:i/>
          <w:kern w:val="0"/>
          <w:sz w:val="24"/>
          <w:szCs w:val="24"/>
        </w:rPr>
      </w:pPr>
    </w:p>
    <w:p w:rsidR="00BF749F" w:rsidRPr="00A50C94" w:rsidRDefault="00A50C94" w:rsidP="00A50C94">
      <w:pPr>
        <w:widowControl/>
        <w:suppressAutoHyphens w:val="0"/>
        <w:autoSpaceDN/>
        <w:spacing w:after="0" w:line="360" w:lineRule="auto"/>
        <w:ind w:left="708"/>
        <w:jc w:val="right"/>
        <w:textAlignment w:val="auto"/>
        <w:rPr>
          <w:rFonts w:ascii="Times New Roman" w:eastAsiaTheme="minorHAnsi" w:hAnsi="Times New Roman" w:cs="Times New Roman"/>
          <w:b/>
          <w:i/>
          <w:kern w:val="0"/>
          <w:sz w:val="24"/>
          <w:szCs w:val="24"/>
        </w:rPr>
      </w:pPr>
      <w:r>
        <w:rPr>
          <w:rFonts w:ascii="Times New Roman" w:eastAsiaTheme="minorHAnsi" w:hAnsi="Times New Roman" w:cs="Times New Roman"/>
          <w:b/>
          <w:i/>
          <w:kern w:val="0"/>
          <w:sz w:val="24"/>
          <w:szCs w:val="24"/>
        </w:rPr>
        <w:t>Приложение № 3</w:t>
      </w:r>
    </w:p>
    <w:p w:rsidR="00E17BE8" w:rsidRDefault="00E17BE8">
      <w:pPr>
        <w:pStyle w:val="Standard"/>
        <w:widowControl w:val="0"/>
        <w:jc w:val="both"/>
        <w:rPr>
          <w:b/>
          <w:i/>
        </w:rPr>
      </w:pPr>
    </w:p>
    <w:p w:rsidR="00BD3E0A" w:rsidRDefault="00BD3E0A">
      <w:pPr>
        <w:pStyle w:val="Standard"/>
        <w:jc w:val="both"/>
        <w:rPr>
          <w:b/>
        </w:rPr>
      </w:pPr>
    </w:p>
    <w:p w:rsidR="00A50C94" w:rsidRPr="00A50C94" w:rsidRDefault="00A50C94" w:rsidP="00A50C94">
      <w:pPr>
        <w:keepNext/>
        <w:widowControl/>
        <w:suppressAutoHyphens w:val="0"/>
        <w:autoSpaceDN/>
        <w:spacing w:before="240" w:after="240" w:line="240" w:lineRule="auto"/>
        <w:jc w:val="both"/>
        <w:textAlignment w:val="auto"/>
        <w:outlineLvl w:val="0"/>
        <w:rPr>
          <w:rFonts w:ascii="Times New Roman" w:eastAsia="Times New Roman" w:hAnsi="Times New Roman" w:cs="Times New Roman"/>
          <w:b/>
          <w:smallCaps/>
          <w:kern w:val="0"/>
          <w:sz w:val="24"/>
          <w:szCs w:val="24"/>
          <w:lang w:val="fr-BE"/>
        </w:rPr>
      </w:pPr>
      <w:r w:rsidRPr="00A50C94">
        <w:rPr>
          <w:rFonts w:ascii="Times New Roman" w:eastAsia="Times New Roman" w:hAnsi="Times New Roman" w:cs="Times New Roman"/>
          <w:b/>
          <w:smallCaps/>
          <w:kern w:val="0"/>
          <w:sz w:val="24"/>
          <w:szCs w:val="24"/>
        </w:rPr>
        <w:t xml:space="preserve">т.3.4. </w:t>
      </w:r>
      <w:r w:rsidRPr="00A50C94">
        <w:rPr>
          <w:rFonts w:ascii="Times New Roman" w:eastAsia="Times New Roman" w:hAnsi="Times New Roman" w:cs="Times New Roman"/>
          <w:b/>
          <w:smallCaps/>
          <w:kern w:val="0"/>
          <w:sz w:val="24"/>
          <w:szCs w:val="24"/>
          <w:lang w:val="fr-BE"/>
        </w:rPr>
        <w:t>Подмярка: 4.3 Инвестиции за развитие, модернизация или адаптиране на земеделската и горска инфраструктура</w:t>
      </w:r>
    </w:p>
    <w:p w:rsidR="00A50C94" w:rsidRPr="00A50C94" w:rsidRDefault="00A50C94" w:rsidP="00A50C94">
      <w:pPr>
        <w:widowControl/>
        <w:suppressAutoHyphens w:val="0"/>
        <w:autoSpaceDN/>
        <w:spacing w:after="0" w:line="360" w:lineRule="auto"/>
        <w:jc w:val="both"/>
        <w:textAlignment w:val="auto"/>
        <w:rPr>
          <w:rFonts w:ascii="Times New Roman" w:eastAsia="Times New Roman" w:hAnsi="Times New Roman" w:cs="Times New Roman"/>
          <w:kern w:val="0"/>
          <w:sz w:val="24"/>
          <w:szCs w:val="24"/>
        </w:rPr>
      </w:pPr>
      <w:r w:rsidRPr="00A50C94">
        <w:rPr>
          <w:rFonts w:ascii="Times New Roman" w:eastAsia="Times New Roman" w:hAnsi="Times New Roman" w:cs="Times New Roman"/>
          <w:kern w:val="0"/>
          <w:sz w:val="24"/>
          <w:szCs w:val="24"/>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995"/>
      </w:tblGrid>
      <w:tr w:rsidR="00A50C94" w:rsidRPr="00A50C94" w:rsidTr="00C9352C">
        <w:tc>
          <w:tcPr>
            <w:tcW w:w="450" w:type="pct"/>
            <w:shd w:val="clear" w:color="auto" w:fill="auto"/>
            <w:tcMar>
              <w:top w:w="20" w:type="dxa"/>
              <w:bottom w:w="20" w:type="dxa"/>
            </w:tcMar>
            <w:vAlign w:val="center"/>
          </w:tcPr>
          <w:p w:rsidR="00A50C94" w:rsidRPr="00A50C94" w:rsidRDefault="00A50C94" w:rsidP="00A50C94">
            <w:pPr>
              <w:widowControl/>
              <w:numPr>
                <w:ilvl w:val="0"/>
                <w:numId w:val="100"/>
              </w:numPr>
              <w:suppressAutoHyphens w:val="0"/>
              <w:autoSpaceDN/>
              <w:spacing w:before="120" w:after="0" w:line="360" w:lineRule="auto"/>
              <w:ind w:firstLine="360"/>
              <w:jc w:val="both"/>
              <w:textAlignment w:val="auto"/>
              <w:rPr>
                <w:rFonts w:ascii="Times New Roman" w:eastAsia="Times New Roman" w:hAnsi="Times New Roman" w:cs="Times New Roman"/>
                <w:kern w:val="0"/>
                <w:sz w:val="24"/>
                <w:szCs w:val="24"/>
              </w:rPr>
            </w:pPr>
            <w:r w:rsidRPr="00A50C94">
              <w:rPr>
                <w:rFonts w:ascii="Times New Roman" w:eastAsia="Times New Roman" w:hAnsi="Times New Roman" w:cs="Times New Roman"/>
                <w:kern w:val="0"/>
                <w:sz w:val="24"/>
                <w:szCs w:val="24"/>
              </w:rPr>
              <w:t>4.3 - Подкрепа за инвестиции в инфраструктура, свързани с развитие, модерн</w:t>
            </w:r>
            <w:r w:rsidRPr="00A50C94">
              <w:rPr>
                <w:rFonts w:ascii="Times New Roman" w:eastAsia="Times New Roman" w:hAnsi="Times New Roman" w:cs="Times New Roman"/>
                <w:kern w:val="0"/>
                <w:sz w:val="24"/>
                <w:szCs w:val="24"/>
              </w:rPr>
              <w:t>и</w:t>
            </w:r>
            <w:r w:rsidRPr="00A50C94">
              <w:rPr>
                <w:rFonts w:ascii="Times New Roman" w:eastAsia="Times New Roman" w:hAnsi="Times New Roman" w:cs="Times New Roman"/>
                <w:kern w:val="0"/>
                <w:sz w:val="24"/>
                <w:szCs w:val="24"/>
              </w:rPr>
              <w:t>зация или адаптиране на земеделската и горска инфраструктура.</w:t>
            </w:r>
          </w:p>
        </w:tc>
      </w:tr>
    </w:tbl>
    <w:p w:rsidR="00A50C94" w:rsidRPr="00A50C94" w:rsidRDefault="00A50C94" w:rsidP="00A50C94">
      <w:pPr>
        <w:pStyle w:val="ListParagraph"/>
        <w:keepNext/>
        <w:numPr>
          <w:ilvl w:val="0"/>
          <w:numId w:val="101"/>
        </w:numPr>
        <w:suppressAutoHyphens w:val="0"/>
        <w:autoSpaceDN/>
        <w:spacing w:before="240" w:after="240" w:line="240" w:lineRule="auto"/>
        <w:jc w:val="both"/>
        <w:textAlignment w:val="auto"/>
        <w:outlineLvl w:val="0"/>
        <w:rPr>
          <w:b/>
          <w:smallCaps/>
          <w:kern w:val="0"/>
          <w:lang w:val="fr-BE"/>
        </w:rPr>
      </w:pPr>
      <w:r w:rsidRPr="00A50C94">
        <w:rPr>
          <w:b/>
          <w:smallCaps/>
          <w:kern w:val="0"/>
          <w:lang w:val="fr-BE"/>
        </w:rPr>
        <w:t>Описание на вида операция</w:t>
      </w:r>
    </w:p>
    <w:p w:rsidR="00BD3E0A" w:rsidRDefault="00BD3E0A">
      <w:pPr>
        <w:pStyle w:val="Standard"/>
        <w:keepNext/>
        <w:spacing w:before="240" w:after="240"/>
        <w:ind w:left="450"/>
        <w:jc w:val="both"/>
        <w:outlineLvl w:val="0"/>
      </w:pP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before="120" w:line="360" w:lineRule="auto"/>
              <w:jc w:val="both"/>
            </w:pPr>
            <w:r>
              <w:t xml:space="preserve">Повече от две десетилетия на недостатъчни инвестиции в мащабно изградените напоителни системи водят до значително влошаване на състоянието им, от което следва намаляване на поливните площи в България и ограничаване на значителните възможности за насърчаване на конкурентоспособността на селското стопанство, за подобряване на производителността и за намаляване на загубите на доход за растениевъдството за земеделските производители в години с неблагоприятни климатични условия.   </w:t>
            </w:r>
          </w:p>
          <w:p w:rsidR="00BD3E0A" w:rsidRDefault="0003502D">
            <w:pPr>
              <w:pStyle w:val="Standard"/>
              <w:spacing w:before="120" w:line="360" w:lineRule="auto"/>
              <w:jc w:val="both"/>
            </w:pPr>
            <w:r>
              <w:t>Сушите, наводненията и другите заплахи, свързани с изменението на климата, оказват значително въздействие върху производството и сигурността на храните и липсата на подходяща инфраструктура допринася за ограничаване на възможностите за икономическо развитие въпреки потенциала на селското стопанство.</w:t>
            </w:r>
          </w:p>
          <w:p w:rsidR="00BD3E0A" w:rsidRDefault="0003502D">
            <w:pPr>
              <w:pStyle w:val="Standard"/>
              <w:spacing w:before="120" w:line="360" w:lineRule="auto"/>
              <w:jc w:val="both"/>
            </w:pPr>
            <w:r>
              <w:t>За да се адаптират към последиците от изменението на климата и за опазване на околната среда и поради съображения за конкурентоспособност, са необходими инвестиции да се модернизират съоръженията за напояване. За да се гарантира ефективното използване на водата е необходимо използване на нови технологии, които водят до реално намаляване на консумацията на вода, намаляване на загубите на вода, както до намаляване натиска върху повърхностните водни обекти.</w:t>
            </w:r>
          </w:p>
          <w:p w:rsidR="00BD3E0A" w:rsidRDefault="0003502D">
            <w:pPr>
              <w:pStyle w:val="Standard"/>
              <w:spacing w:before="120" w:line="360" w:lineRule="auto"/>
              <w:jc w:val="both"/>
            </w:pPr>
            <w:r>
              <w:t xml:space="preserve">Общата стратегия за управление и развитие на хидромелиорациите и защита от вредното въздействие на водите (Приета от Министерски съвет с Решение № 688 от 18 август 2016 г.) определя като приоритет възстановяването на инфраструктурата за напояване чрез </w:t>
            </w:r>
            <w:r>
              <w:lastRenderedPageBreak/>
              <w:t>реконструкция и модернизацията ѝ в съответствие с идентифицираните нужди.</w:t>
            </w:r>
          </w:p>
          <w:p w:rsidR="00BD3E0A" w:rsidRDefault="0003502D">
            <w:pPr>
              <w:pStyle w:val="Standard"/>
              <w:spacing w:before="120" w:line="360" w:lineRule="auto"/>
              <w:jc w:val="both"/>
            </w:pPr>
            <w:r>
              <w:t>В България се отчитат тенденции, свързани с нарастваща несигурност на селскостопанската дейност при продължителни периоди на засушаване. В тези условия напоителната инфраструктура ще се използва за задоволяването на нарасналите нужди на селскостопанските култури от вода. В тази връзка ясно са очертани области в страната, към които ще бъде насочена подкрепата за хидромелиорационна</w:t>
            </w:r>
            <w:r>
              <w:rPr>
                <w:lang w:val="en-US"/>
              </w:rPr>
              <w:t xml:space="preserve"> </w:t>
            </w:r>
            <w:r>
              <w:t>инфраструктура,</w:t>
            </w:r>
            <w:r>
              <w:rPr>
                <w:lang w:val="en-US"/>
              </w:rPr>
              <w:t xml:space="preserve"> </w:t>
            </w:r>
            <w:r>
              <w:t>стопанисвана от „Напоителни системи“ ЕАД (НС ЕАД), „Сдружения за напояване“ (СН) и юридически лица, собственици и/или ползватели на такава инфраструктура. Ще бъде с приоритет подпомагането в областите с най-голяма потребност от инвестиционна интервенция в райони със силно изразено зеленчукопроизводство, отглеждане на трайни насаждения и поливни култури. По този начин чрез подмярката ще се осигури допълнително целево насочване на помощта към земеделски стопанства, извършващи своята дейност в чувствителните сектори, определени в ПРСР 2014-2020.</w:t>
            </w:r>
          </w:p>
          <w:p w:rsidR="00BD3E0A" w:rsidRDefault="0003502D">
            <w:pPr>
              <w:pStyle w:val="Standard"/>
              <w:spacing w:before="120" w:line="360" w:lineRule="auto"/>
              <w:jc w:val="both"/>
            </w:pPr>
            <w:r>
              <w:t>Чрез насочване на средствата в реконструкция/рехабилитация и модернизация на хидромелиорационна инфраструктура ще се създадат реални предпоставки за земеделските стопани да оптимизират своите разходи за напояване на единица площ, което от своя страна ще се отрази благоприятно на цената на произвежданата продукция и на добивите. Осигуряването на достъп до такъв тип подпомагане е в унисон и с основните принципи на разработената методика за определяне на цената на водата, а именно принципите на предвидимост, финансова достъпност, устойчивост и прозрачност.</w:t>
            </w:r>
          </w:p>
          <w:p w:rsidR="00BD3E0A" w:rsidRDefault="0003502D">
            <w:pPr>
              <w:pStyle w:val="Standard"/>
              <w:spacing w:before="120" w:line="360" w:lineRule="auto"/>
              <w:jc w:val="both"/>
            </w:pPr>
            <w:r>
              <w:t>Чрез насочване на подпомагането по подмярката към подобрени практики за управление на водите, ще се инвестира в гарантиране на ефективното използване на водата (намаляване на загубите на вода) и подобряване ефективността на напояването.</w:t>
            </w:r>
          </w:p>
        </w:tc>
      </w:tr>
    </w:tbl>
    <w:p w:rsidR="00BD3E0A" w:rsidRDefault="0003502D" w:rsidP="00A50C94">
      <w:pPr>
        <w:pStyle w:val="Standard"/>
        <w:keepNext/>
        <w:numPr>
          <w:ilvl w:val="0"/>
          <w:numId w:val="101"/>
        </w:numPr>
        <w:spacing w:before="240" w:after="240"/>
        <w:jc w:val="both"/>
        <w:outlineLvl w:val="0"/>
      </w:pPr>
      <w:r>
        <w:rPr>
          <w:b/>
          <w:smallCaps/>
          <w:lang w:val="fr-BE"/>
        </w:rPr>
        <w:lastRenderedPageBreak/>
        <w:t>Вид</w:t>
      </w:r>
      <w:r w:rsidR="00B27CEC">
        <w:rPr>
          <w:b/>
          <w:smallCaps/>
        </w:rPr>
        <w:t xml:space="preserve"> </w:t>
      </w:r>
      <w:r>
        <w:rPr>
          <w:b/>
          <w:smallCaps/>
          <w:lang w:val="fr-BE"/>
        </w:rPr>
        <w:t>подкрепа</w:t>
      </w:r>
    </w:p>
    <w:p w:rsidR="00BD3E0A" w:rsidRDefault="0003502D">
      <w:pPr>
        <w:pStyle w:val="Standard"/>
        <w:spacing w:line="360" w:lineRule="auto"/>
        <w:ind w:left="284"/>
        <w:jc w:val="both"/>
      </w:pPr>
      <w:r>
        <w:t>Вид подкрепа: Безвъзмездни средства</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t>Подкрепа се предоставя на територията на цялата страна, в материални и нематериални инвестиции за реконструкция и модернизация на инфраструктурата за напояване, за покриване нуждите от реконструкция на съоръженията и поетапно възстановяване на останалите.</w:t>
            </w:r>
          </w:p>
          <w:p w:rsidR="00BD3E0A" w:rsidRDefault="0003502D">
            <w:pPr>
              <w:pStyle w:val="Standard"/>
              <w:spacing w:line="360" w:lineRule="auto"/>
              <w:jc w:val="both"/>
            </w:pPr>
            <w:r>
              <w:t>Подкрепата ще бъде насочена към инвестиции извън земеделските стопанства, включващи:</w:t>
            </w:r>
          </w:p>
          <w:p w:rsidR="00BD3E0A" w:rsidRDefault="0003502D">
            <w:pPr>
              <w:pStyle w:val="Standard"/>
              <w:numPr>
                <w:ilvl w:val="0"/>
                <w:numId w:val="32"/>
              </w:numPr>
              <w:spacing w:before="120" w:after="120"/>
              <w:jc w:val="both"/>
            </w:pPr>
            <w:r>
              <w:t>Изграждане на нови и  ремонт/реконструкция/рехабилитация на напоителни инсталации и напоителна инфраструктура.</w:t>
            </w:r>
          </w:p>
          <w:p w:rsidR="00BD3E0A" w:rsidRDefault="0003502D">
            <w:pPr>
              <w:pStyle w:val="Standard"/>
              <w:spacing w:line="360" w:lineRule="auto"/>
              <w:ind w:firstLine="360"/>
              <w:jc w:val="both"/>
            </w:pPr>
            <w:r>
              <w:t xml:space="preserve">Закупуване и инсталиране на машини, съоръжения и оборудване за напояване, включително и такива, пряко свързани с подобряване на енергийната ефективност и </w:t>
            </w:r>
            <w:r>
              <w:lastRenderedPageBreak/>
              <w:t>опазване на околната среда, както и съоръжения за съхранение на вода за напояване в съществуващи мрежи; Финансовата помощ по мярката се предоставя под формата на възстановяване на действително направени и платени допустими разходи.</w:t>
            </w:r>
          </w:p>
        </w:tc>
      </w:tr>
    </w:tbl>
    <w:p w:rsidR="00BD3E0A" w:rsidRDefault="0003502D" w:rsidP="00A50C94">
      <w:pPr>
        <w:pStyle w:val="Standard"/>
        <w:keepNext/>
        <w:numPr>
          <w:ilvl w:val="0"/>
          <w:numId w:val="101"/>
        </w:numPr>
        <w:spacing w:before="240" w:after="240"/>
        <w:jc w:val="both"/>
        <w:outlineLvl w:val="0"/>
      </w:pPr>
      <w:r>
        <w:rPr>
          <w:b/>
          <w:smallCaps/>
          <w:lang w:val="fr-BE"/>
        </w:rPr>
        <w:lastRenderedPageBreak/>
        <w:t>Връзка с друго</w:t>
      </w:r>
      <w:r w:rsidR="00B27CEC">
        <w:rPr>
          <w:b/>
          <w:smallCaps/>
        </w:rPr>
        <w:t xml:space="preserve"> </w:t>
      </w:r>
      <w:r>
        <w:rPr>
          <w:b/>
          <w:smallCaps/>
          <w:lang w:val="fr-BE"/>
        </w:rPr>
        <w:t>законодателство</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pPr>
            <w:r>
              <w:rPr>
                <w:b/>
                <w:bCs/>
              </w:rPr>
              <w:t>Връзка с друго законодателство</w:t>
            </w:r>
          </w:p>
          <w:p w:rsidR="00BD3E0A" w:rsidRDefault="0003502D">
            <w:pPr>
              <w:pStyle w:val="Standard"/>
              <w:numPr>
                <w:ilvl w:val="0"/>
                <w:numId w:val="33"/>
              </w:numPr>
              <w:spacing w:before="120" w:after="120" w:line="360" w:lineRule="auto"/>
              <w:ind w:firstLine="360"/>
              <w:jc w:val="both"/>
            </w:pPr>
            <w:r>
              <w:rPr>
                <w:bCs/>
              </w:rPr>
              <w:t>Директива 2000/60/EО на Европейския парламент и на Съвета от 23 октомври 2000 година за установяване на рамка за действията на Общността в областта на политиката за водите;</w:t>
            </w:r>
          </w:p>
          <w:p w:rsidR="00BD3E0A" w:rsidRDefault="0003502D">
            <w:pPr>
              <w:pStyle w:val="Standard"/>
              <w:numPr>
                <w:ilvl w:val="0"/>
                <w:numId w:val="27"/>
              </w:numPr>
              <w:spacing w:before="120" w:after="120" w:line="360" w:lineRule="auto"/>
              <w:ind w:firstLine="360"/>
              <w:jc w:val="both"/>
            </w:pPr>
            <w:r>
              <w:rPr>
                <w:bCs/>
              </w:rPr>
              <w:t>Делегиран акт на основание чл. 46, параграф 8 от Регламент (ЕС) № 1305/2013;</w:t>
            </w:r>
          </w:p>
          <w:p w:rsidR="00BD3E0A" w:rsidRDefault="0003502D">
            <w:pPr>
              <w:pStyle w:val="Standard"/>
              <w:numPr>
                <w:ilvl w:val="0"/>
                <w:numId w:val="27"/>
              </w:numPr>
              <w:spacing w:before="120" w:after="120" w:line="360" w:lineRule="auto"/>
              <w:ind w:firstLine="360"/>
              <w:jc w:val="both"/>
            </w:pPr>
            <w:r>
              <w:t>Делегиран акт на основание чл. 19, параграф 8 от Регламент (ЕС) № 1305/2013.</w:t>
            </w:r>
          </w:p>
          <w:p w:rsidR="00BD3E0A" w:rsidRDefault="0003502D">
            <w:pPr>
              <w:pStyle w:val="Standard"/>
              <w:spacing w:line="360" w:lineRule="auto"/>
              <w:jc w:val="both"/>
            </w:pPr>
            <w:r>
              <w:t>При прилагане на мярката ще бъде осигурено пълно разграничаване на подкрепата по мярката с други схеми и мерки за подпомагане.</w:t>
            </w:r>
          </w:p>
          <w:p w:rsidR="00BD3E0A" w:rsidRDefault="0003502D">
            <w:pPr>
              <w:pStyle w:val="Standard"/>
              <w:spacing w:line="360" w:lineRule="auto"/>
              <w:jc w:val="both"/>
            </w:pPr>
            <w:r>
              <w:t>Ще бъде осигурена система на контрол, която ще гарантира  избягване на двойно финансиране с други финансови инструменти за едни и същи дейности.</w:t>
            </w:r>
          </w:p>
        </w:tc>
      </w:tr>
    </w:tbl>
    <w:p w:rsidR="00BD3E0A" w:rsidRDefault="0003502D" w:rsidP="00A50C94">
      <w:pPr>
        <w:pStyle w:val="Standard"/>
        <w:keepNext/>
        <w:numPr>
          <w:ilvl w:val="0"/>
          <w:numId w:val="101"/>
        </w:numPr>
        <w:spacing w:before="240" w:after="240"/>
        <w:jc w:val="both"/>
        <w:outlineLvl w:val="0"/>
      </w:pPr>
      <w:r>
        <w:rPr>
          <w:b/>
          <w:smallCaps/>
          <w:lang w:val="fr-BE"/>
        </w:rPr>
        <w:t>Бенефициери</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t>Бенефициери могат да бъдат оператори за хидромелиоративни дейности, които са:</w:t>
            </w:r>
          </w:p>
          <w:p w:rsidR="00BD3E0A" w:rsidRDefault="0003502D">
            <w:pPr>
              <w:pStyle w:val="Standard"/>
              <w:numPr>
                <w:ilvl w:val="0"/>
                <w:numId w:val="34"/>
              </w:numPr>
              <w:spacing w:before="120" w:after="120" w:line="360" w:lineRule="auto"/>
              <w:ind w:firstLine="360"/>
              <w:jc w:val="both"/>
            </w:pPr>
            <w:r>
              <w:t>Юридически лица, учредени и регистрирани по реда на Закона за сдружения за напояване (ЗСН).</w:t>
            </w:r>
          </w:p>
          <w:p w:rsidR="00BD3E0A" w:rsidRDefault="0003502D">
            <w:pPr>
              <w:pStyle w:val="Standard"/>
              <w:numPr>
                <w:ilvl w:val="0"/>
                <w:numId w:val="29"/>
              </w:numPr>
              <w:spacing w:before="120" w:after="120" w:line="360" w:lineRule="auto"/>
              <w:ind w:firstLine="360"/>
              <w:jc w:val="both"/>
            </w:pPr>
            <w:r>
              <w:t>Юридически лица, учредени и регистрирани по реда на Търговския закон (ТЗ) или Закона за кооперациите (ЗК).</w:t>
            </w:r>
          </w:p>
          <w:p w:rsidR="00BD3E0A" w:rsidRDefault="0003502D">
            <w:pPr>
              <w:pStyle w:val="Standard"/>
              <w:numPr>
                <w:ilvl w:val="0"/>
                <w:numId w:val="29"/>
              </w:numPr>
              <w:spacing w:before="120" w:after="120" w:line="360" w:lineRule="auto"/>
              <w:ind w:firstLine="360"/>
              <w:jc w:val="both"/>
            </w:pPr>
            <w:r>
              <w:t>„Напоителни системи“ ЕАД.</w:t>
            </w:r>
          </w:p>
          <w:p w:rsidR="00BD3E0A" w:rsidRDefault="00BD3E0A">
            <w:pPr>
              <w:pStyle w:val="Standard"/>
              <w:spacing w:line="360" w:lineRule="auto"/>
              <w:ind w:left="720"/>
              <w:jc w:val="both"/>
              <w:rPr>
                <w:b/>
              </w:rPr>
            </w:pPr>
          </w:p>
        </w:tc>
      </w:tr>
    </w:tbl>
    <w:p w:rsidR="00BD3E0A" w:rsidRDefault="0003502D" w:rsidP="00A50C94">
      <w:pPr>
        <w:pStyle w:val="Standard"/>
        <w:keepNext/>
        <w:numPr>
          <w:ilvl w:val="0"/>
          <w:numId w:val="101"/>
        </w:numPr>
        <w:spacing w:before="240" w:after="240"/>
        <w:jc w:val="both"/>
        <w:outlineLvl w:val="0"/>
      </w:pPr>
      <w:r>
        <w:rPr>
          <w:b/>
          <w:smallCaps/>
          <w:lang w:val="fr-BE"/>
        </w:rPr>
        <w:t>Допустими</w:t>
      </w:r>
      <w:r w:rsidR="00B27CEC">
        <w:rPr>
          <w:b/>
          <w:smallCaps/>
        </w:rPr>
        <w:t xml:space="preserve"> </w:t>
      </w:r>
      <w:r>
        <w:rPr>
          <w:b/>
          <w:smallCaps/>
          <w:lang w:val="fr-BE"/>
        </w:rPr>
        <w:t>разходи</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pPr>
            <w:r>
              <w:rPr>
                <w:b/>
                <w:bCs/>
              </w:rPr>
              <w:t>Допустими разходи</w:t>
            </w:r>
          </w:p>
          <w:p w:rsidR="00BD3E0A" w:rsidRDefault="0003502D">
            <w:pPr>
              <w:pStyle w:val="Standard"/>
              <w:spacing w:line="360" w:lineRule="auto"/>
              <w:jc w:val="both"/>
            </w:pPr>
            <w:r>
              <w:t xml:space="preserve">В съответствие с чл.67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w:t>
            </w:r>
            <w:r>
              <w:lastRenderedPageBreak/>
              <w:t>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финансовата помощ по мярката се предоставя под формата на възстановяване на действително направени и платени допустими разходи.</w:t>
            </w:r>
          </w:p>
          <w:p w:rsidR="00BD3E0A" w:rsidRDefault="0003502D">
            <w:pPr>
              <w:pStyle w:val="Standard"/>
              <w:spacing w:line="360" w:lineRule="auto"/>
              <w:jc w:val="both"/>
            </w:pPr>
            <w:r>
              <w:rPr>
                <w:color w:val="000000"/>
                <w:sz w:val="21"/>
              </w:rPr>
              <w:t xml:space="preserve">Допустимите разходи са ограничени до разходите за материални и нематериални инвестиции, предмет на разпоредбите в секция </w:t>
            </w:r>
            <w:r>
              <w:rPr>
                <w:bCs/>
                <w:color w:val="000000"/>
                <w:sz w:val="21"/>
              </w:rPr>
              <w:t>8</w:t>
            </w:r>
            <w:r>
              <w:rPr>
                <w:color w:val="000000"/>
                <w:sz w:val="21"/>
              </w:rPr>
              <w:t>.</w:t>
            </w:r>
            <w:r>
              <w:rPr>
                <w:bCs/>
                <w:color w:val="000000"/>
                <w:sz w:val="21"/>
              </w:rPr>
              <w:t>1</w:t>
            </w:r>
            <w:r>
              <w:rPr>
                <w:color w:val="000000"/>
                <w:sz w:val="21"/>
              </w:rPr>
              <w:t>, приложими за настоящата подмярка.</w:t>
            </w:r>
          </w:p>
          <w:p w:rsidR="00BD3E0A" w:rsidRDefault="0003502D">
            <w:pPr>
              <w:pStyle w:val="Standard"/>
              <w:spacing w:line="360" w:lineRule="auto"/>
            </w:pPr>
            <w:r>
              <w:rPr>
                <w:b/>
                <w:bCs/>
              </w:rPr>
              <w:t>Материални инвестиции за:</w:t>
            </w:r>
          </w:p>
          <w:p w:rsidR="00BD3E0A" w:rsidRDefault="0003502D">
            <w:pPr>
              <w:pStyle w:val="Standard"/>
              <w:numPr>
                <w:ilvl w:val="0"/>
                <w:numId w:val="35"/>
              </w:numPr>
              <w:spacing w:before="120" w:after="120" w:line="360" w:lineRule="auto"/>
              <w:ind w:firstLine="360"/>
              <w:jc w:val="both"/>
            </w:pPr>
            <w:r>
              <w:t>Изграждане, реконструкция/рехабилитация/ремонт на сгради и друга недвижима собственост, използвани за дейности, свързани изцяло с напояване, включително такива, използвани за опазване на околната среда.</w:t>
            </w:r>
          </w:p>
          <w:p w:rsidR="00BD3E0A" w:rsidRDefault="0003502D">
            <w:pPr>
              <w:pStyle w:val="Standard"/>
              <w:numPr>
                <w:ilvl w:val="0"/>
                <w:numId w:val="25"/>
              </w:numPr>
              <w:spacing w:before="120" w:after="120" w:line="360" w:lineRule="auto"/>
              <w:ind w:firstLine="360"/>
              <w:jc w:val="both"/>
            </w:pPr>
            <w:r>
              <w:t>Закупуване и/или инсталиране на нови машини, съоръжения и оборудване, необходими за подобряване на дейностите, свързани с напояване, включително свързани с опазване на околната среда и подобряване на енергийната ефективност и за подобряване на проводимостта на напоителните съоръжения.</w:t>
            </w:r>
          </w:p>
          <w:p w:rsidR="00BD3E0A" w:rsidRDefault="0003502D">
            <w:pPr>
              <w:pStyle w:val="Standard"/>
              <w:numPr>
                <w:ilvl w:val="0"/>
                <w:numId w:val="25"/>
              </w:numPr>
              <w:spacing w:before="120" w:after="120" w:line="360" w:lineRule="auto"/>
              <w:ind w:firstLine="360"/>
              <w:jc w:val="both"/>
            </w:pPr>
            <w:r>
              <w:t>Изграждане и/или инсталиране на системи за отчитане и мониторинг на ползваните количества вода, включително свързани с превенция от вредното въздействие върху околната среда.</w:t>
            </w:r>
          </w:p>
          <w:p w:rsidR="00BD3E0A" w:rsidRDefault="0003502D">
            <w:pPr>
              <w:pStyle w:val="Standard"/>
              <w:spacing w:line="360" w:lineRule="auto"/>
              <w:jc w:val="both"/>
            </w:pPr>
            <w:r>
              <w:rPr>
                <w:b/>
                <w:bCs/>
              </w:rPr>
              <w:t>Нематериални инвестиции:</w:t>
            </w:r>
          </w:p>
          <w:p w:rsidR="00BD3E0A" w:rsidRDefault="0003502D">
            <w:pPr>
              <w:pStyle w:val="Standard"/>
              <w:spacing w:line="360" w:lineRule="auto"/>
              <w:ind w:firstLine="360"/>
              <w:jc w:val="both"/>
            </w:pPr>
            <w:r>
              <w:t>1. Общи разходи, свързани със съответния проект за предпроектни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 Общите разходи по проекта не могат да надхвърлят 12 % от общия размер на допустимите инвестиции по проекта. /Съгласно Раздел 8.1/.</w:t>
            </w:r>
          </w:p>
          <w:p w:rsidR="00BD3E0A" w:rsidRDefault="0003502D">
            <w:pPr>
              <w:pStyle w:val="Standard"/>
              <w:spacing w:line="360" w:lineRule="auto"/>
              <w:ind w:firstLine="360"/>
              <w:jc w:val="both"/>
            </w:pPr>
            <w:r>
              <w:t>2. Разходи за ноу-хау, придобиване на патентни права и лицензи, необходими за изготвяне и изпълнение на проекта;</w:t>
            </w:r>
          </w:p>
          <w:p w:rsidR="00BD3E0A" w:rsidRDefault="0003502D">
            <w:pPr>
              <w:pStyle w:val="Standard"/>
              <w:spacing w:line="360" w:lineRule="auto"/>
              <w:ind w:firstLine="360"/>
              <w:jc w:val="both"/>
            </w:pPr>
            <w:r>
              <w:t>3. Закупуване на софтуер, пряко свързан с дейността;</w:t>
            </w:r>
          </w:p>
          <w:p w:rsidR="00BD3E0A" w:rsidRDefault="0003502D">
            <w:pPr>
              <w:pStyle w:val="Standard"/>
              <w:spacing w:line="360" w:lineRule="auto"/>
              <w:jc w:val="both"/>
            </w:pPr>
            <w:r>
              <w:t>Общите разходи по т.1 може да са възникнали не по – рано от 01.01.2014 г.</w:t>
            </w:r>
          </w:p>
          <w:p w:rsidR="00BD3E0A" w:rsidRDefault="0003502D">
            <w:pPr>
              <w:pStyle w:val="Standard"/>
              <w:spacing w:line="360" w:lineRule="auto"/>
              <w:jc w:val="both"/>
            </w:pPr>
            <w:r>
              <w:rPr>
                <w:color w:val="000000"/>
                <w:sz w:val="21"/>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BD3E0A" w:rsidRDefault="0003502D">
            <w:pPr>
              <w:pStyle w:val="Standard"/>
              <w:spacing w:line="360" w:lineRule="auto"/>
              <w:jc w:val="both"/>
            </w:pPr>
            <w:r>
              <w:t>Допустими са авансови плащания в размер до 50% от публичната помощ, свързана с одобрените допустими разходи.</w:t>
            </w:r>
          </w:p>
          <w:p w:rsidR="00BD3E0A" w:rsidRDefault="0003502D">
            <w:pPr>
              <w:pStyle w:val="Standard"/>
              <w:spacing w:line="360" w:lineRule="auto"/>
              <w:jc w:val="both"/>
            </w:pPr>
            <w:r>
              <w:t xml:space="preserve">Авансово плащане за възложители по Закона за обществените поръчки (ЗОП) и по 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w:t>
            </w:r>
            <w:r>
              <w:lastRenderedPageBreak/>
              <w:t>покана от бенефициенти на безвъзмездна финансова помощ от Европейските структурни и инвестиционни фондове (ПМС № 160 от 2016 г.) е допустимо както следва:</w:t>
            </w:r>
          </w:p>
          <w:p w:rsidR="00BD3E0A" w:rsidRDefault="0003502D">
            <w:pPr>
              <w:pStyle w:val="Standard"/>
              <w:spacing w:line="360" w:lineRule="auto"/>
              <w:ind w:firstLine="360"/>
              <w:jc w:val="both"/>
            </w:pPr>
            <w:r>
              <w:t>• до 12% от стойността на одобрената публична помощ по проекта за общи разходи и при наличие на документи от проведената съгласно изискванията на ЗОП/ Постановление № 160  процедура за избор на изпълнител/и;</w:t>
            </w:r>
          </w:p>
          <w:p w:rsidR="00BD3E0A" w:rsidRDefault="0003502D">
            <w:pPr>
              <w:pStyle w:val="Standard"/>
              <w:spacing w:line="360" w:lineRule="auto"/>
              <w:ind w:firstLine="360"/>
              <w:jc w:val="both"/>
            </w:pPr>
            <w:r>
              <w:t>• разликата до 50% от стойността на одобрената публична помощ по проекта след провеждане на всички процедури и сключване на договор за избор на изпълнител/и по ЗОП или по ПМС № 160 от 2016 г.</w:t>
            </w:r>
          </w:p>
          <w:p w:rsidR="00BD3E0A" w:rsidRDefault="0003502D">
            <w:pPr>
              <w:pStyle w:val="Standard"/>
              <w:spacing w:line="360" w:lineRule="auto"/>
              <w:jc w:val="both"/>
            </w:pPr>
            <w:r>
              <w:t>Оперативните разходи, свързани с предоставянето на услугите за доставка на вода за напояване са недопустими за подпомагане по подмярката.</w:t>
            </w:r>
          </w:p>
        </w:tc>
      </w:tr>
    </w:tbl>
    <w:p w:rsidR="00BD3E0A" w:rsidRDefault="0003502D" w:rsidP="00A50C94">
      <w:pPr>
        <w:pStyle w:val="Standard"/>
        <w:keepNext/>
        <w:numPr>
          <w:ilvl w:val="0"/>
          <w:numId w:val="101"/>
        </w:numPr>
        <w:spacing w:before="240" w:after="240"/>
        <w:jc w:val="both"/>
        <w:outlineLvl w:val="0"/>
      </w:pPr>
      <w:r>
        <w:rPr>
          <w:b/>
          <w:smallCaps/>
        </w:rPr>
        <w:lastRenderedPageBreak/>
        <w:t>Условия за допустимост</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rPr>
                <w:lang w:val="en-GB"/>
              </w:rPr>
              <w:t>Дейностите</w:t>
            </w:r>
            <w:r>
              <w:t xml:space="preserve"> </w:t>
            </w:r>
            <w:r>
              <w:rPr>
                <w:lang w:val="en-GB"/>
              </w:rPr>
              <w:t>трябва</w:t>
            </w:r>
            <w:r>
              <w:t xml:space="preserve"> </w:t>
            </w:r>
            <w:r>
              <w:rPr>
                <w:lang w:val="en-GB"/>
              </w:rPr>
              <w:t>да</w:t>
            </w:r>
            <w:r>
              <w:t xml:space="preserve"> </w:t>
            </w:r>
            <w:r>
              <w:rPr>
                <w:lang w:val="en-GB"/>
              </w:rPr>
              <w:t>се</w:t>
            </w:r>
            <w:r>
              <w:t xml:space="preserve"> </w:t>
            </w:r>
            <w:r>
              <w:rPr>
                <w:lang w:val="en-GB"/>
              </w:rPr>
              <w:t>изпълняват</w:t>
            </w:r>
            <w:r>
              <w:t xml:space="preserve"> </w:t>
            </w:r>
            <w:r>
              <w:rPr>
                <w:lang w:val="en-GB"/>
              </w:rPr>
              <w:t>на</w:t>
            </w:r>
            <w:r>
              <w:t xml:space="preserve"> </w:t>
            </w:r>
            <w:r>
              <w:rPr>
                <w:lang w:val="en-GB"/>
              </w:rPr>
              <w:t>територията</w:t>
            </w:r>
            <w:r>
              <w:t xml:space="preserve"> </w:t>
            </w:r>
            <w:r>
              <w:rPr>
                <w:lang w:val="en-GB"/>
              </w:rPr>
              <w:t>на</w:t>
            </w:r>
            <w:r>
              <w:t xml:space="preserve"> </w:t>
            </w:r>
            <w:r>
              <w:rPr>
                <w:lang w:val="en-GB"/>
              </w:rPr>
              <w:t>Р</w:t>
            </w:r>
            <w:r>
              <w:t xml:space="preserve"> </w:t>
            </w:r>
            <w:r>
              <w:rPr>
                <w:lang w:val="en-GB"/>
              </w:rPr>
              <w:t>Б</w:t>
            </w:r>
            <w:r>
              <w:t xml:space="preserve">, в </w:t>
            </w:r>
            <w:r>
              <w:rPr>
                <w:lang w:val="en-GB"/>
              </w:rPr>
              <w:t>съответствие</w:t>
            </w:r>
            <w:r>
              <w:t xml:space="preserve"> </w:t>
            </w:r>
            <w:r>
              <w:rPr>
                <w:lang w:val="en-GB"/>
              </w:rPr>
              <w:t>с</w:t>
            </w:r>
            <w:r>
              <w:t xml:space="preserve"> </w:t>
            </w:r>
            <w:r>
              <w:rPr>
                <w:lang w:val="en-GB"/>
              </w:rPr>
              <w:t>Плана</w:t>
            </w:r>
            <w:r>
              <w:t xml:space="preserve"> </w:t>
            </w:r>
            <w:r>
              <w:rPr>
                <w:lang w:val="en-GB"/>
              </w:rPr>
              <w:t>за</w:t>
            </w:r>
            <w:r>
              <w:t xml:space="preserve"> </w:t>
            </w:r>
            <w:r>
              <w:rPr>
                <w:lang w:val="en-GB"/>
              </w:rPr>
              <w:t>управление</w:t>
            </w:r>
            <w:r>
              <w:t xml:space="preserve"> </w:t>
            </w:r>
            <w:r>
              <w:rPr>
                <w:lang w:val="en-GB"/>
              </w:rPr>
              <w:t>на</w:t>
            </w:r>
            <w:r>
              <w:t xml:space="preserve"> </w:t>
            </w:r>
            <w:r>
              <w:rPr>
                <w:lang w:val="en-GB"/>
              </w:rPr>
              <w:t>речните</w:t>
            </w:r>
            <w:r>
              <w:t xml:space="preserve"> </w:t>
            </w:r>
            <w:r>
              <w:rPr>
                <w:lang w:val="en-GB"/>
              </w:rPr>
              <w:t>басейни</w:t>
            </w:r>
            <w:r>
              <w:rPr>
                <w:lang w:val="fr-BE"/>
              </w:rPr>
              <w:t xml:space="preserve"> /</w:t>
            </w:r>
            <w:r>
              <w:rPr>
                <w:lang w:val="en-GB"/>
              </w:rPr>
              <w:t>ПУРБ</w:t>
            </w:r>
            <w:r>
              <w:rPr>
                <w:lang w:val="fr-BE"/>
              </w:rPr>
              <w:t>/</w:t>
            </w:r>
            <w:r>
              <w:t xml:space="preserve">, </w:t>
            </w:r>
            <w:r>
              <w:rPr>
                <w:lang w:val="en-GB"/>
              </w:rPr>
              <w:t>да</w:t>
            </w:r>
            <w:r>
              <w:t xml:space="preserve"> </w:t>
            </w:r>
            <w:r>
              <w:rPr>
                <w:lang w:val="en-GB"/>
              </w:rPr>
              <w:t>предвиждат</w:t>
            </w:r>
            <w:r>
              <w:t xml:space="preserve"> </w:t>
            </w:r>
            <w:r>
              <w:rPr>
                <w:lang w:val="en-GB"/>
              </w:rPr>
              <w:t>измерване</w:t>
            </w:r>
            <w:r>
              <w:t xml:space="preserve"> </w:t>
            </w:r>
            <w:r>
              <w:rPr>
                <w:lang w:val="en-GB"/>
              </w:rPr>
              <w:t>на</w:t>
            </w:r>
            <w:r>
              <w:t xml:space="preserve"> </w:t>
            </w:r>
            <w:r>
              <w:rPr>
                <w:lang w:val="en-GB"/>
              </w:rPr>
              <w:t>потреблението</w:t>
            </w:r>
            <w:r>
              <w:t xml:space="preserve"> </w:t>
            </w:r>
            <w:r>
              <w:rPr>
                <w:lang w:val="en-GB"/>
              </w:rPr>
              <w:t>на</w:t>
            </w:r>
            <w:r>
              <w:t xml:space="preserve"> </w:t>
            </w:r>
            <w:r>
              <w:rPr>
                <w:lang w:val="en-GB"/>
              </w:rPr>
              <w:t>вода</w:t>
            </w:r>
            <w:r>
              <w:t xml:space="preserve"> </w:t>
            </w:r>
            <w:r>
              <w:rPr>
                <w:lang w:val="en-GB"/>
              </w:rPr>
              <w:t>на</w:t>
            </w:r>
            <w:r>
              <w:t xml:space="preserve"> </w:t>
            </w:r>
            <w:r>
              <w:rPr>
                <w:lang w:val="en-GB"/>
              </w:rPr>
              <w:t>база</w:t>
            </w:r>
            <w:r>
              <w:t xml:space="preserve"> </w:t>
            </w:r>
            <w:r>
              <w:rPr>
                <w:lang w:val="en-GB"/>
              </w:rPr>
              <w:t>планираните</w:t>
            </w:r>
            <w:r>
              <w:t xml:space="preserve"> </w:t>
            </w:r>
            <w:r>
              <w:rPr>
                <w:lang w:val="en-GB"/>
              </w:rPr>
              <w:t>инвестиции</w:t>
            </w:r>
            <w:r>
              <w:t>, да са в съответствие със Закона за водите (ЗВ) и актовете по прилагането му; да са в съответствие със Закона за сдруженията за напояване (ЗСН) и актовете по прилагането му (ако кандидатите са сдружения за напояване), както и да са в съответствие със Закона за устройство на територията (ЗУТ).</w:t>
            </w:r>
          </w:p>
          <w:p w:rsidR="00BD3E0A" w:rsidRDefault="0003502D">
            <w:pPr>
              <w:pStyle w:val="Standard"/>
              <w:spacing w:line="360" w:lineRule="auto"/>
              <w:jc w:val="both"/>
            </w:pPr>
            <w:r>
              <w:t>По мярката не се подпомагат инвестиции, за които е установено, че ще оказват отрицателно въздействие върху околната среда /Виж Раздел 8.1/.</w:t>
            </w:r>
          </w:p>
          <w:p w:rsidR="00BD3E0A" w:rsidRDefault="0003502D">
            <w:pPr>
              <w:pStyle w:val="Standard"/>
              <w:spacing w:line="360" w:lineRule="auto"/>
              <w:jc w:val="both"/>
            </w:pPr>
            <w:r>
              <w:t>Допустими по подмярката са инвестициионни разходи за инфраструктура за напояване извън земеделските стопанства.</w:t>
            </w:r>
          </w:p>
          <w:p w:rsidR="00BD3E0A" w:rsidRDefault="0003502D">
            <w:pPr>
              <w:pStyle w:val="Standard"/>
              <w:spacing w:line="360" w:lineRule="auto"/>
              <w:jc w:val="both"/>
            </w:pPr>
            <w:r>
              <w:t>За инвестиции за ремонт/реконструкция/рехабилитация на съществуващи системи за напояване трябва да са изпълнени следните условия, съгласно чл. 46, § 4 от Регламент /ЕС/ 1305/2014:</w:t>
            </w:r>
          </w:p>
          <w:p w:rsidR="00BD3E0A" w:rsidRDefault="0003502D">
            <w:pPr>
              <w:pStyle w:val="Standard"/>
              <w:spacing w:line="360" w:lineRule="auto"/>
              <w:jc w:val="both"/>
            </w:pPr>
            <w:r>
              <w:t>В случай на воден обект със състояние, определено в съответния ПУРБ, най – малко като „добро“, с инвестициите трябва да се осигурява най – малко 15% потенциална икономия на вода.</w:t>
            </w:r>
          </w:p>
          <w:p w:rsidR="00BD3E0A" w:rsidRDefault="0003502D">
            <w:pPr>
              <w:pStyle w:val="Standard"/>
              <w:spacing w:line="360" w:lineRule="auto"/>
              <w:jc w:val="both"/>
            </w:pPr>
            <w:r>
              <w:t>В случай на воден обект със състояние, определено в съответния ПУРБ, като по – ниско от „добро“ с инвестициите трябва да се осигурява ефективно намаление на консумацията на вода с не по–малко от 50% от потенциалната икономия.</w:t>
            </w:r>
          </w:p>
          <w:p w:rsidR="00BD3E0A" w:rsidRDefault="0003502D">
            <w:pPr>
              <w:pStyle w:val="Standard"/>
              <w:spacing w:line="360" w:lineRule="auto"/>
              <w:jc w:val="both"/>
            </w:pPr>
            <w:r>
              <w:t>Посочените условия за инвестиции за рехабилитация на съществуващи системи за напояване не са приложими за инвестиции, свързани само с енергийна ефективност, за съоръжения за съхранение на вода или за инвестиции, които използват само рециклирани води.</w:t>
            </w:r>
          </w:p>
          <w:p w:rsidR="00BD3E0A" w:rsidRDefault="0003502D">
            <w:pPr>
              <w:pStyle w:val="Standard"/>
              <w:spacing w:line="360" w:lineRule="auto"/>
              <w:jc w:val="both"/>
            </w:pPr>
            <w:r>
              <w:lastRenderedPageBreak/>
              <w:t>За инвестиции, свързани с нетно увеличение на напояваната площ трябва да са изпълнени следните условия съгласно чл. 46, § 5 от Регламент /ЕС/ 1305/2014:</w:t>
            </w:r>
          </w:p>
          <w:p w:rsidR="00BD3E0A" w:rsidRDefault="0003502D">
            <w:pPr>
              <w:pStyle w:val="Standard"/>
              <w:spacing w:line="360" w:lineRule="auto"/>
              <w:jc w:val="both"/>
            </w:pPr>
            <w:r>
              <w:t>За инвестициите, водещи до нетно увеличение на напояваните площи, в случай че състоянието на водния обект, определен в съответния ПУРБ, не е в категория по–ниска от „добро“, оценката за въздействие върху околната среда на инвестицията трябва да доказва, че същата няма да окаже значително отрицателно въздействие върху околната среда.</w:t>
            </w:r>
          </w:p>
          <w:p w:rsidR="00BD3E0A" w:rsidRDefault="0003502D">
            <w:pPr>
              <w:pStyle w:val="Standard"/>
              <w:spacing w:line="360" w:lineRule="auto"/>
              <w:jc w:val="both"/>
            </w:pPr>
            <w:r>
              <w:t>В случай, че състоянието на водния обект, определен в съответния ПУРБ, е в категория по–ниска от „добро“, инвестицията е допустима за подпомагане, ако включва и инвестиции в съществуващата напоителна инсталация, които по предварителна оценка осигуряват най–малко между 15%  и 25% потенциална икономия на вода съгласно техническите характеристики на съществуващата инсталация и инвестициите трябва да осигуряват ефективно намаление на потреблението на вода с не по–малко от 50% от потенциалната икономия.</w:t>
            </w:r>
          </w:p>
          <w:p w:rsidR="00BD3E0A" w:rsidRDefault="0003502D">
            <w:pPr>
              <w:pStyle w:val="Standard"/>
              <w:spacing w:line="360" w:lineRule="auto"/>
              <w:jc w:val="both"/>
            </w:pPr>
            <w:r>
              <w:t>За инвестиции за ремонт/реконструкция/рехабилитация на съществуващи системи за напояване при определяне на потенциалната икономия на вода и ефективното намаление на консумацията на вода ще се взимат предвид и данните за предходен период от водомерните устройства или актуваните и фактурирани водни количества, съобразени с утвърдените поливни и напоителни норми към съответната съществуваща система.</w:t>
            </w:r>
          </w:p>
          <w:p w:rsidR="00BD3E0A" w:rsidRDefault="0003502D">
            <w:pPr>
              <w:pStyle w:val="Standard"/>
              <w:spacing w:line="360" w:lineRule="auto"/>
              <w:jc w:val="both"/>
            </w:pPr>
            <w:r>
              <w:t>Инвестициите в нови инсталации за напояване също ще бъдат допустими /чл. 46, § 6 от Регламент /ЕС/ 1305/2014/, ако се доставя вода от съществуващ язовир, въведен в експлоатация преди 31.10.2013 г., който е включен в ПУРБ на Басейнова дирекция и същият подлежи на контрол, включително за максимална граница за общо водочерпене или за минимален отток след язовира и не е налице нарушаване на тези граници.</w:t>
            </w:r>
          </w:p>
          <w:p w:rsidR="00BD3E0A" w:rsidRDefault="0003502D">
            <w:pPr>
              <w:pStyle w:val="Standard"/>
              <w:spacing w:line="360" w:lineRule="auto"/>
              <w:jc w:val="both"/>
            </w:pPr>
            <w:r>
              <w:t>Площи, които не се напояват, но към 01.01.2007 г. в тях е действала напоителна инсталация, се считат за напоявани площи.</w:t>
            </w:r>
          </w:p>
          <w:p w:rsidR="00BD3E0A" w:rsidRDefault="0003502D">
            <w:pPr>
              <w:pStyle w:val="Standard"/>
              <w:spacing w:line="360" w:lineRule="auto"/>
              <w:jc w:val="both"/>
            </w:pPr>
            <w:r>
              <w:t>Инвестиции за напояване по подмярката ще се подпомагат, в случай че е осигурено разрешение за водовземане от съответните структури на Министерство на околната среда и водите (МОСВ) в съответствие с Плана за управление на речните басейни и то гарантира, че няма да има влошаване на водния статус в резултат на инвестицията или друго значително негативно въздействие върху околната среда, включително от кумулативното въздействие от всички инвестиции за напояване в речния басейн.</w:t>
            </w:r>
          </w:p>
          <w:p w:rsidR="00BD3E0A" w:rsidRDefault="0003502D">
            <w:pPr>
              <w:pStyle w:val="Standard"/>
              <w:spacing w:line="360" w:lineRule="auto"/>
              <w:jc w:val="both"/>
            </w:pPr>
            <w:r>
              <w:t>Допустими за подпомагане са проекти, които покриват минимален брой точки в резултат на селекцията по критериите за оценка, определени от Комитета по наблюдение.</w:t>
            </w:r>
          </w:p>
        </w:tc>
      </w:tr>
    </w:tbl>
    <w:p w:rsidR="00BD3E0A" w:rsidRDefault="0003502D" w:rsidP="00A50C94">
      <w:pPr>
        <w:pStyle w:val="Standard"/>
        <w:keepNext/>
        <w:numPr>
          <w:ilvl w:val="0"/>
          <w:numId w:val="101"/>
        </w:numPr>
        <w:spacing w:before="240" w:after="240"/>
        <w:jc w:val="both"/>
        <w:outlineLvl w:val="0"/>
      </w:pPr>
      <w:r>
        <w:rPr>
          <w:b/>
          <w:smallCaps/>
          <w:lang w:val="fr-BE"/>
        </w:rPr>
        <w:lastRenderedPageBreak/>
        <w:t>Принципи</w:t>
      </w:r>
      <w:r>
        <w:rPr>
          <w:b/>
          <w:smallCaps/>
        </w:rPr>
        <w:t xml:space="preserve"> </w:t>
      </w:r>
      <w:r>
        <w:rPr>
          <w:b/>
          <w:smallCaps/>
          <w:lang w:val="fr-BE"/>
        </w:rPr>
        <w:t>при</w:t>
      </w:r>
      <w:r>
        <w:rPr>
          <w:b/>
          <w:smallCaps/>
        </w:rPr>
        <w:t xml:space="preserve"> </w:t>
      </w:r>
      <w:r>
        <w:rPr>
          <w:b/>
          <w:smallCaps/>
          <w:lang w:val="fr-BE"/>
        </w:rPr>
        <w:t>определяне на критериите</w:t>
      </w:r>
      <w:r>
        <w:rPr>
          <w:b/>
          <w:smallCaps/>
        </w:rPr>
        <w:t xml:space="preserve"> </w:t>
      </w:r>
      <w:r>
        <w:rPr>
          <w:b/>
          <w:smallCaps/>
          <w:lang w:val="fr-BE"/>
        </w:rPr>
        <w:t>за</w:t>
      </w:r>
      <w:r>
        <w:rPr>
          <w:b/>
          <w:smallCaps/>
        </w:rPr>
        <w:t xml:space="preserve"> </w:t>
      </w:r>
      <w:r>
        <w:rPr>
          <w:b/>
          <w:smallCaps/>
          <w:lang w:val="fr-BE"/>
        </w:rPr>
        <w:t>подбор</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t>Критериите за подбор ще гарантират насоченост на финансовото подпомагане чрез инвестиции пряко свързани с чувствителните сектори в земеделското производство и поливни култури. Приоритет ще бъде осигурен и за проектни предложения с включени инвестиции, целящи по-голяма икономия на вода, при които се използва вода от инфраструктура с по-голями загуби и по-ниска ефективност при използване на водните ресурси, обслужващи по-голяма площ, внедряване на иновативни технологии и операции, поддържане на ландшафтни елементи, опазване на околната среда и енергийна ефективност.</w:t>
            </w:r>
          </w:p>
          <w:p w:rsidR="00BD3E0A" w:rsidRDefault="0003502D">
            <w:pPr>
              <w:pStyle w:val="Standard"/>
              <w:spacing w:line="360" w:lineRule="auto"/>
              <w:jc w:val="both"/>
            </w:pPr>
            <w:r>
              <w:t>Не на последно място ще се търси и допълняемост на критериите за подбор с интервенциите в напоителни системи на ниво земеделско стопанство, които се предоставят по подмярка 4.1 от ПРСР.</w:t>
            </w:r>
          </w:p>
        </w:tc>
      </w:tr>
    </w:tbl>
    <w:p w:rsidR="00BD3E0A" w:rsidRDefault="0003502D" w:rsidP="00A50C94">
      <w:pPr>
        <w:pStyle w:val="Standard"/>
        <w:keepNext/>
        <w:numPr>
          <w:ilvl w:val="0"/>
          <w:numId w:val="101"/>
        </w:numPr>
        <w:spacing w:before="240" w:after="240"/>
        <w:jc w:val="both"/>
        <w:outlineLvl w:val="0"/>
      </w:pPr>
      <w:r>
        <w:rPr>
          <w:b/>
          <w:smallCaps/>
          <w:lang w:val="fr-BE"/>
        </w:rPr>
        <w:t>(Приложими) суми и проценти на предоставяната</w:t>
      </w:r>
      <w:r>
        <w:rPr>
          <w:b/>
          <w:smallCaps/>
        </w:rPr>
        <w:t xml:space="preserve"> </w:t>
      </w:r>
      <w:r>
        <w:rPr>
          <w:b/>
          <w:smallCaps/>
          <w:lang w:val="fr-BE"/>
        </w:rPr>
        <w:t>подкрепа</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t>Финансовата помощ ще бъде предоставяна в съответствие с Насоките на Европейския съюз за държавната помощ в сектора на селското и горско стопанство и в селските райони за периода 2014 – 2020 г.</w:t>
            </w:r>
          </w:p>
          <w:p w:rsidR="00BD3E0A" w:rsidRDefault="0003502D">
            <w:pPr>
              <w:pStyle w:val="Standard"/>
              <w:spacing w:line="360" w:lineRule="auto"/>
              <w:jc w:val="both"/>
            </w:pPr>
            <w:r>
              <w:t>Максималният размер на безвъзмездната финансова помощ е в размер до 100% от общия размер на допустимите за финансово подпомагане разходи за проекта. Интензитетът на помощта се прилага в съответствие с разпоредбите на Регламент (ЕС) 1305/2013, Приложение II „Размери и ставки на помощта“. Интензитетът на помощта не може да надвишава тавана, определен в това приложение.</w:t>
            </w:r>
          </w:p>
          <w:p w:rsidR="00BD3E0A" w:rsidRDefault="0003502D">
            <w:pPr>
              <w:pStyle w:val="Standard"/>
              <w:spacing w:line="360" w:lineRule="auto"/>
              <w:jc w:val="both"/>
            </w:pPr>
            <w:r>
              <w:t>Минималният размер на допустимите разходи за едно проектно предложение е в рамките на 15 000 евро.</w:t>
            </w:r>
          </w:p>
          <w:p w:rsidR="00BD3E0A" w:rsidRDefault="0003502D">
            <w:pPr>
              <w:pStyle w:val="Standard"/>
              <w:spacing w:line="360" w:lineRule="auto"/>
              <w:jc w:val="both"/>
            </w:pPr>
            <w:r>
              <w:t>Максималният размер на допустимите разходи за кандидати по т. 3 от раздел 4 „Бенефициери“ за едно проектно предложение не може да надхвърля левовата равностойност на 6 000 000 евро.</w:t>
            </w:r>
          </w:p>
        </w:tc>
      </w:tr>
    </w:tbl>
    <w:p w:rsidR="00BD3E0A" w:rsidRDefault="0003502D" w:rsidP="00A50C94">
      <w:pPr>
        <w:pStyle w:val="Standard"/>
        <w:keepNext/>
        <w:numPr>
          <w:ilvl w:val="0"/>
          <w:numId w:val="101"/>
        </w:numPr>
        <w:spacing w:before="240" w:after="240"/>
        <w:jc w:val="both"/>
        <w:outlineLvl w:val="0"/>
      </w:pPr>
      <w:r>
        <w:rPr>
          <w:b/>
          <w:smallCaps/>
          <w:lang w:val="fr-BE"/>
        </w:rPr>
        <w:t>Доказуемост и възможности</w:t>
      </w:r>
      <w:r>
        <w:rPr>
          <w:b/>
          <w:smallCaps/>
        </w:rPr>
        <w:t xml:space="preserve"> </w:t>
      </w:r>
      <w:r>
        <w:rPr>
          <w:b/>
          <w:smallCaps/>
          <w:lang w:val="fr-BE"/>
        </w:rPr>
        <w:t>за</w:t>
      </w:r>
      <w:r>
        <w:rPr>
          <w:b/>
          <w:smallCaps/>
        </w:rPr>
        <w:t xml:space="preserve"> </w:t>
      </w:r>
      <w:r>
        <w:rPr>
          <w:b/>
          <w:smallCaps/>
          <w:lang w:val="fr-BE"/>
        </w:rPr>
        <w:t>контрол на мерките и/или</w:t>
      </w:r>
      <w:r>
        <w:rPr>
          <w:b/>
          <w:smallCaps/>
        </w:rPr>
        <w:t xml:space="preserve"> </w:t>
      </w:r>
      <w:r>
        <w:rPr>
          <w:b/>
          <w:smallCaps/>
          <w:lang w:val="fr-BE"/>
        </w:rPr>
        <w:t>видовете</w:t>
      </w:r>
      <w:r>
        <w:rPr>
          <w:b/>
          <w:smallCaps/>
        </w:rPr>
        <w:t xml:space="preserve"> </w:t>
      </w:r>
      <w:r>
        <w:rPr>
          <w:b/>
          <w:smallCaps/>
          <w:lang w:val="fr-BE"/>
        </w:rPr>
        <w:t>операции</w:t>
      </w:r>
    </w:p>
    <w:p w:rsidR="00BD3E0A" w:rsidRDefault="00B27CEC">
      <w:pPr>
        <w:pStyle w:val="Standard"/>
        <w:keepNext/>
        <w:spacing w:before="240" w:after="240"/>
        <w:jc w:val="both"/>
        <w:outlineLvl w:val="1"/>
      </w:pPr>
      <w:r>
        <w:rPr>
          <w:b/>
        </w:rPr>
        <w:t xml:space="preserve">9.1 </w:t>
      </w:r>
      <w:r w:rsidR="0003502D">
        <w:rPr>
          <w:b/>
          <w:lang w:val="fr-BE"/>
        </w:rPr>
        <w:t>Риск(ове) при</w:t>
      </w:r>
      <w:r w:rsidR="0003502D">
        <w:rPr>
          <w:b/>
        </w:rPr>
        <w:t xml:space="preserve"> </w:t>
      </w:r>
      <w:r w:rsidR="0003502D">
        <w:rPr>
          <w:b/>
          <w:lang w:val="fr-BE"/>
        </w:rPr>
        <w:t>изпълнението на мерките</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before="120" w:after="120" w:line="360" w:lineRule="auto"/>
              <w:ind w:left="360"/>
              <w:jc w:val="both"/>
            </w:pPr>
            <w:r>
              <w:t>1.Съществува риск от одобряване на разходи над пазарната стойност;</w:t>
            </w:r>
          </w:p>
          <w:p w:rsidR="00BD3E0A" w:rsidRDefault="0003502D">
            <w:pPr>
              <w:pStyle w:val="Standard"/>
              <w:spacing w:before="120" w:after="120" w:line="360" w:lineRule="auto"/>
              <w:ind w:left="360"/>
              <w:jc w:val="both"/>
            </w:pPr>
            <w:r>
              <w:t>2.Съществува риск от двойно финансиране на активи (дейности), които могат да бъдат подпомогнати с други публични средства;</w:t>
            </w:r>
          </w:p>
          <w:p w:rsidR="00BD3E0A" w:rsidRDefault="0003502D">
            <w:pPr>
              <w:pStyle w:val="Standard"/>
              <w:spacing w:before="120" w:after="120" w:line="360" w:lineRule="auto"/>
              <w:ind w:left="360"/>
              <w:jc w:val="both"/>
            </w:pPr>
            <w:r>
              <w:lastRenderedPageBreak/>
              <w:t>3.Съществува риск от санкции към бенефициерите, поради неразбиране на договорните задължения и ангажименти, което от своя страна води до по-високо ниво на грешка;</w:t>
            </w:r>
          </w:p>
          <w:p w:rsidR="00BD3E0A" w:rsidRDefault="0003502D">
            <w:pPr>
              <w:pStyle w:val="Standard"/>
              <w:spacing w:before="120" w:after="120" w:line="360" w:lineRule="auto"/>
              <w:ind w:left="360"/>
              <w:jc w:val="both"/>
            </w:pPr>
            <w:r>
              <w:t>4.Съществува риск от промяна на условията, за които кандидатът е получил приоритет;</w:t>
            </w:r>
          </w:p>
          <w:p w:rsidR="00BD3E0A" w:rsidRDefault="0003502D">
            <w:pPr>
              <w:pStyle w:val="Standard"/>
              <w:spacing w:before="120" w:after="120" w:line="360" w:lineRule="auto"/>
              <w:ind w:left="360"/>
              <w:jc w:val="both"/>
            </w:pPr>
            <w:r>
              <w:t>5.Съществува риск от неспазване на правилата за обществени поръчки, в случаите, когато е приложимо за кандидати-възложители по ЗОП;</w:t>
            </w:r>
          </w:p>
          <w:p w:rsidR="00BD3E0A" w:rsidRDefault="0003502D">
            <w:pPr>
              <w:pStyle w:val="Standard"/>
              <w:spacing w:before="120" w:after="120" w:line="360" w:lineRule="auto"/>
              <w:ind w:left="360"/>
              <w:jc w:val="both"/>
            </w:pPr>
            <w:r>
              <w:t>6.Трудности при проверката на ефективното намаляване на ползваната вода при проектите за напояване на ниво инфраструктура за напояване.</w:t>
            </w:r>
          </w:p>
          <w:p w:rsidR="00BD3E0A" w:rsidRDefault="0003502D">
            <w:pPr>
              <w:pStyle w:val="Standard"/>
              <w:spacing w:before="120" w:after="120" w:line="360" w:lineRule="auto"/>
              <w:ind w:left="360"/>
              <w:jc w:val="both"/>
            </w:pPr>
            <w:r>
              <w:t>7.Риск от невъзможност за осъществяване на проекта в резултат на ограничен достъп до финансиране на бенефициерите</w:t>
            </w:r>
          </w:p>
        </w:tc>
      </w:tr>
    </w:tbl>
    <w:p w:rsidR="00BD3E0A" w:rsidRDefault="00B27CEC">
      <w:pPr>
        <w:pStyle w:val="Standard"/>
        <w:keepNext/>
        <w:spacing w:before="240" w:after="240"/>
        <w:jc w:val="both"/>
        <w:outlineLvl w:val="1"/>
      </w:pPr>
      <w:r>
        <w:rPr>
          <w:b/>
        </w:rPr>
        <w:lastRenderedPageBreak/>
        <w:t xml:space="preserve">9.2 </w:t>
      </w:r>
      <w:r w:rsidR="0003502D">
        <w:rPr>
          <w:b/>
          <w:lang w:val="fr-BE"/>
        </w:rPr>
        <w:t>Действия</w:t>
      </w:r>
      <w:r w:rsidR="0003502D">
        <w:rPr>
          <w:b/>
        </w:rPr>
        <w:t xml:space="preserve"> </w:t>
      </w:r>
      <w:r w:rsidR="0003502D">
        <w:rPr>
          <w:b/>
          <w:lang w:val="fr-BE"/>
        </w:rPr>
        <w:t>за</w:t>
      </w:r>
      <w:r w:rsidR="0003502D">
        <w:rPr>
          <w:b/>
        </w:rPr>
        <w:t xml:space="preserve"> </w:t>
      </w:r>
      <w:r w:rsidR="0003502D">
        <w:rPr>
          <w:b/>
          <w:lang w:val="fr-BE"/>
        </w:rPr>
        <w:t>смекчаване на последиците</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numPr>
                <w:ilvl w:val="0"/>
                <w:numId w:val="36"/>
              </w:numPr>
              <w:spacing w:before="120" w:after="120" w:line="360" w:lineRule="auto"/>
              <w:ind w:firstLine="360"/>
              <w:jc w:val="both"/>
            </w:pPr>
            <w:r>
              <w:t>Обосноваността на разходите ще се преценява на база на разписаните критерии за лимитиране на разходи до пазарната им стойност. Разходите се оценяват посредством подходяща система за оценка, като например референтни разходи и сравняване на различни оферти.</w:t>
            </w:r>
          </w:p>
          <w:p w:rsidR="00BD3E0A" w:rsidRDefault="0003502D">
            <w:pPr>
              <w:pStyle w:val="Standard"/>
              <w:numPr>
                <w:ilvl w:val="0"/>
                <w:numId w:val="28"/>
              </w:numPr>
              <w:spacing w:before="120" w:after="120" w:line="360" w:lineRule="auto"/>
              <w:ind w:firstLine="360"/>
              <w:jc w:val="both"/>
            </w:pPr>
            <w:r>
              <w:t>Контролните процедури ще включват административни проверки за избягване на неправомерното двойно финансиране в рамките на други схеми за подпомагане включително и от предходния програмен период. Когато е налице финансиране от други източници, тези проверки гарантират, че общият размер на полученото подпомагане не надхвърля максималните допустими суми или проценти на подпомагане.</w:t>
            </w:r>
          </w:p>
          <w:p w:rsidR="00BD3E0A" w:rsidRDefault="0003502D">
            <w:pPr>
              <w:pStyle w:val="Standard"/>
              <w:numPr>
                <w:ilvl w:val="0"/>
                <w:numId w:val="28"/>
              </w:numPr>
              <w:spacing w:before="120" w:after="120" w:line="360" w:lineRule="auto"/>
              <w:ind w:firstLine="360"/>
              <w:jc w:val="both"/>
            </w:pPr>
            <w:r>
              <w:t>Контролните процедури включват елементи за проверка за наличие на изкуствено създадени условия, както и включват проверки за спазването на условията, за които бенефициера е получил приоритет.</w:t>
            </w:r>
          </w:p>
          <w:p w:rsidR="00BD3E0A" w:rsidRDefault="0003502D">
            <w:pPr>
              <w:pStyle w:val="Standard"/>
              <w:numPr>
                <w:ilvl w:val="0"/>
                <w:numId w:val="28"/>
              </w:numPr>
              <w:spacing w:before="120" w:after="120" w:line="360" w:lineRule="auto"/>
              <w:ind w:firstLine="360"/>
              <w:jc w:val="both"/>
            </w:pPr>
            <w:r>
              <w:t>В нормативната уредба, или в насоките, или друг документ, определящ условията за кандидатстване и условията за изпълнение на одобрените проекти, както и в договорите за предоставяне на безвъзмездна финансова помощ ще бъдат регламентирани подробно задълженията на бенефициентите по отношение на спазването на условията, за които те са получили приоритет;</w:t>
            </w:r>
          </w:p>
          <w:p w:rsidR="00BD3E0A" w:rsidRDefault="0003502D">
            <w:pPr>
              <w:pStyle w:val="Standard"/>
              <w:numPr>
                <w:ilvl w:val="0"/>
                <w:numId w:val="28"/>
              </w:numPr>
              <w:spacing w:before="120" w:after="120" w:line="360" w:lineRule="auto"/>
              <w:ind w:firstLine="360"/>
              <w:jc w:val="both"/>
            </w:pPr>
            <w:r>
              <w:t xml:space="preserve">За да се гарантира спазването на изискванията на инвестициите, от гледна точка на въздействието върху околната среда, ще бъдат изисквани от Министерството на околната среда и водите издаване на съответните документи, в съответствие с Плана за управление на речните басейни, които гарантират, че няма да има влошаване на водния статус в </w:t>
            </w:r>
            <w:r>
              <w:lastRenderedPageBreak/>
              <w:t>резултат на инвестициите в хидромелиоративна инфраструктура.</w:t>
            </w:r>
          </w:p>
          <w:p w:rsidR="00BD3E0A" w:rsidRDefault="0003502D">
            <w:pPr>
              <w:pStyle w:val="Standard"/>
              <w:numPr>
                <w:ilvl w:val="0"/>
                <w:numId w:val="28"/>
              </w:numPr>
              <w:spacing w:before="120" w:after="120" w:line="360" w:lineRule="auto"/>
              <w:ind w:firstLine="360"/>
              <w:jc w:val="both"/>
            </w:pPr>
            <w:r>
              <w:t>В съответствие с член 194а, ал. 1 от Закона за водите, такса за водовземане се определя на базата на обема на водата, която се измерва с помощта на измервателни прибори, които отговарят на изискванията. Изискването за наличие на измервателни устройства е едно от условията за издаване на разрешителни за водовземане, подлежащи на контрол от органа, издал съответното разрешение. Водомерените устройства ще бъдат неразделна част от подкрепените инвестиции за напояване.</w:t>
            </w:r>
          </w:p>
          <w:p w:rsidR="00BD3E0A" w:rsidRDefault="0003502D">
            <w:pPr>
              <w:pStyle w:val="Standard"/>
              <w:numPr>
                <w:ilvl w:val="0"/>
                <w:numId w:val="28"/>
              </w:numPr>
              <w:spacing w:before="120" w:after="120" w:line="360" w:lineRule="auto"/>
              <w:ind w:firstLine="360"/>
              <w:jc w:val="both"/>
            </w:pPr>
            <w:r>
              <w:t>Ползвателите на финансова помощ за инвестиционна подкрепа могат да поискат от Разплащателната агенция авансово плащане в размер до 50% от публичната подкрепа. Авансово плащане към ползватели на финансова помощ се извършва след учредяване на банкова гаранция или друга равностойна гаранция, в размер на 100% от размера на исканото авансово плащане.</w:t>
            </w:r>
          </w:p>
        </w:tc>
      </w:tr>
    </w:tbl>
    <w:p w:rsidR="00BD3E0A" w:rsidRDefault="00B27CEC">
      <w:pPr>
        <w:pStyle w:val="Standard"/>
        <w:keepNext/>
        <w:spacing w:before="240" w:after="240"/>
        <w:jc w:val="both"/>
        <w:outlineLvl w:val="1"/>
      </w:pPr>
      <w:r>
        <w:rPr>
          <w:b/>
        </w:rPr>
        <w:lastRenderedPageBreak/>
        <w:t xml:space="preserve">9.3 </w:t>
      </w:r>
      <w:r w:rsidR="0003502D">
        <w:rPr>
          <w:b/>
          <w:lang w:val="fr-BE"/>
        </w:rPr>
        <w:t>Обща</w:t>
      </w:r>
      <w:r w:rsidR="0003502D">
        <w:rPr>
          <w:b/>
        </w:rPr>
        <w:t xml:space="preserve"> </w:t>
      </w:r>
      <w:r w:rsidR="0003502D">
        <w:rPr>
          <w:b/>
          <w:lang w:val="fr-BE"/>
        </w:rPr>
        <w:t>оценка на мярката</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t>Предвид описаните мерки за минимизиране на риска, УО и РА считат, че с въвеждането на предвидените действия за смекчаване, се постига разумна увереност по отношение проверимостта и контрола на заложените изисквания в подмярката. По време на изпълнение на Програмата ще се извършва текуща оценка на проверимостта и възможността за контрол, като при необходимост, мерките ще се коригират своевременно в зависимост от нуждите.</w:t>
            </w:r>
          </w:p>
        </w:tc>
      </w:tr>
    </w:tbl>
    <w:p w:rsidR="00BD3E0A" w:rsidRDefault="00B27CEC">
      <w:pPr>
        <w:pStyle w:val="Standard"/>
        <w:keepNext/>
        <w:spacing w:before="240" w:after="240"/>
        <w:jc w:val="both"/>
        <w:outlineLvl w:val="1"/>
      </w:pPr>
      <w:r>
        <w:rPr>
          <w:b/>
        </w:rPr>
        <w:t xml:space="preserve">9.4 </w:t>
      </w:r>
      <w:r w:rsidR="0003502D">
        <w:rPr>
          <w:b/>
          <w:lang w:val="fr-BE"/>
        </w:rPr>
        <w:t>Методология</w:t>
      </w:r>
      <w:r w:rsidR="0003502D">
        <w:rPr>
          <w:b/>
        </w:rPr>
        <w:t xml:space="preserve"> </w:t>
      </w:r>
      <w:r w:rsidR="0003502D">
        <w:rPr>
          <w:b/>
          <w:lang w:val="fr-BE"/>
        </w:rPr>
        <w:t>за</w:t>
      </w:r>
      <w:r w:rsidR="0003502D">
        <w:rPr>
          <w:b/>
        </w:rPr>
        <w:t xml:space="preserve"> </w:t>
      </w:r>
      <w:r w:rsidR="0003502D">
        <w:rPr>
          <w:b/>
          <w:lang w:val="fr-BE"/>
        </w:rPr>
        <w:t>изчисляване на размера</w:t>
      </w:r>
      <w:r w:rsidR="0003502D">
        <w:rPr>
          <w:b/>
        </w:rPr>
        <w:t xml:space="preserve"> </w:t>
      </w:r>
      <w:r w:rsidR="0003502D">
        <w:rPr>
          <w:b/>
          <w:lang w:val="fr-BE"/>
        </w:rPr>
        <w:t>или</w:t>
      </w:r>
      <w:r w:rsidR="0003502D">
        <w:rPr>
          <w:b/>
        </w:rPr>
        <w:t xml:space="preserve"> </w:t>
      </w:r>
      <w:r w:rsidR="0003502D">
        <w:rPr>
          <w:b/>
          <w:lang w:val="fr-BE"/>
        </w:rPr>
        <w:t>процента на подпомагане, когато е уместно</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pPr>
            <w:r>
              <w:t>Неприложимо</w:t>
            </w:r>
          </w:p>
        </w:tc>
      </w:tr>
    </w:tbl>
    <w:p w:rsidR="00BD3E0A" w:rsidRDefault="00B27CEC">
      <w:pPr>
        <w:pStyle w:val="Standard"/>
        <w:keepNext/>
        <w:spacing w:before="240" w:after="240"/>
        <w:jc w:val="both"/>
        <w:outlineLvl w:val="1"/>
      </w:pPr>
      <w:r>
        <w:rPr>
          <w:b/>
        </w:rPr>
        <w:t xml:space="preserve">9.5 </w:t>
      </w:r>
      <w:r w:rsidR="0003502D">
        <w:rPr>
          <w:b/>
          <w:lang w:val="fr-BE"/>
        </w:rPr>
        <w:t>Специфична</w:t>
      </w:r>
      <w:r w:rsidR="0003502D">
        <w:rPr>
          <w:b/>
        </w:rPr>
        <w:t xml:space="preserve"> </w:t>
      </w:r>
      <w:r w:rsidR="0003502D">
        <w:rPr>
          <w:b/>
          <w:lang w:val="fr-BE"/>
        </w:rPr>
        <w:t>информация</w:t>
      </w:r>
      <w:r w:rsidR="0003502D">
        <w:rPr>
          <w:b/>
        </w:rPr>
        <w:t xml:space="preserve"> </w:t>
      </w:r>
      <w:r w:rsidR="0003502D">
        <w:rPr>
          <w:b/>
          <w:lang w:val="fr-BE"/>
        </w:rPr>
        <w:t>за</w:t>
      </w:r>
      <w:r w:rsidR="0003502D">
        <w:rPr>
          <w:b/>
        </w:rPr>
        <w:t xml:space="preserve"> </w:t>
      </w:r>
      <w:r w:rsidR="0003502D">
        <w:rPr>
          <w:b/>
          <w:lang w:val="fr-BE"/>
        </w:rPr>
        <w:t>операцията</w:t>
      </w:r>
    </w:p>
    <w:p w:rsidR="00BD3E0A" w:rsidRDefault="0003502D">
      <w:pPr>
        <w:pStyle w:val="Standard"/>
        <w:spacing w:line="360" w:lineRule="auto"/>
        <w:jc w:val="both"/>
      </w:pPr>
      <w:r>
        <w:t>Определяне на инвестициите в непроизводствени дейности</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pPr>
            <w:r>
              <w:t>Инвестиции, които не водят до значително увеличаване на стойността или рентабилността на земеделското или горското стопанство.</w:t>
            </w:r>
          </w:p>
        </w:tc>
      </w:tr>
    </w:tbl>
    <w:p w:rsidR="00BD3E0A" w:rsidRDefault="0003502D">
      <w:pPr>
        <w:pStyle w:val="Standard"/>
        <w:spacing w:line="360" w:lineRule="auto"/>
        <w:jc w:val="both"/>
      </w:pPr>
      <w:r>
        <w:t>Определяне на колективните инвестиции</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pPr>
            <w:r>
              <w:t>Неприложимо</w:t>
            </w:r>
          </w:p>
        </w:tc>
      </w:tr>
    </w:tbl>
    <w:p w:rsidR="00BD3E0A" w:rsidRDefault="0003502D">
      <w:pPr>
        <w:pStyle w:val="Standard"/>
        <w:spacing w:line="360" w:lineRule="auto"/>
        <w:jc w:val="both"/>
      </w:pPr>
      <w:r>
        <w:t>Определяне на интегрираните проекти</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lastRenderedPageBreak/>
              <w:t>Неприложимо</w:t>
            </w:r>
          </w:p>
        </w:tc>
      </w:tr>
    </w:tbl>
    <w:p w:rsidR="00BD3E0A" w:rsidRDefault="0003502D" w:rsidP="00A50C94">
      <w:pPr>
        <w:pStyle w:val="Standard"/>
        <w:keepNext/>
        <w:numPr>
          <w:ilvl w:val="0"/>
          <w:numId w:val="101"/>
        </w:numPr>
        <w:spacing w:before="240" w:after="240"/>
        <w:jc w:val="both"/>
        <w:outlineLvl w:val="0"/>
      </w:pPr>
      <w:r>
        <w:rPr>
          <w:b/>
          <w:smallCaps/>
          <w:lang w:val="fr-BE"/>
        </w:rPr>
        <w:t>Определяне и посочване на допустимите</w:t>
      </w:r>
      <w:r>
        <w:rPr>
          <w:b/>
          <w:smallCaps/>
        </w:rPr>
        <w:t xml:space="preserve"> </w:t>
      </w:r>
      <w:r>
        <w:rPr>
          <w:b/>
          <w:smallCaps/>
          <w:lang w:val="fr-BE"/>
        </w:rPr>
        <w:t>райони</w:t>
      </w:r>
      <w:r>
        <w:rPr>
          <w:b/>
          <w:smallCaps/>
        </w:rPr>
        <w:t xml:space="preserve"> </w:t>
      </w:r>
      <w:r>
        <w:rPr>
          <w:b/>
          <w:smallCaps/>
          <w:lang w:val="fr-BE"/>
        </w:rPr>
        <w:t>по „Натура 2000“ и други</w:t>
      </w:r>
      <w:r>
        <w:rPr>
          <w:b/>
          <w:smallCaps/>
        </w:rPr>
        <w:t xml:space="preserve"> </w:t>
      </w:r>
      <w:r>
        <w:rPr>
          <w:b/>
          <w:smallCaps/>
          <w:lang w:val="fr-BE"/>
        </w:rPr>
        <w:t>допустими</w:t>
      </w:r>
      <w:r>
        <w:rPr>
          <w:b/>
          <w:smallCaps/>
        </w:rPr>
        <w:t xml:space="preserve"> </w:t>
      </w:r>
      <w:r>
        <w:rPr>
          <w:b/>
          <w:smallCaps/>
          <w:lang w:val="fr-BE"/>
        </w:rPr>
        <w:t>обекти с висока</w:t>
      </w:r>
      <w:r>
        <w:rPr>
          <w:b/>
          <w:smallCaps/>
        </w:rPr>
        <w:t xml:space="preserve"> </w:t>
      </w:r>
      <w:r>
        <w:rPr>
          <w:b/>
          <w:smallCaps/>
          <w:lang w:val="fr-BE"/>
        </w:rPr>
        <w:t>природна</w:t>
      </w:r>
      <w:r>
        <w:rPr>
          <w:b/>
          <w:smallCaps/>
        </w:rPr>
        <w:t xml:space="preserve"> </w:t>
      </w:r>
      <w:r>
        <w:rPr>
          <w:b/>
          <w:smallCaps/>
          <w:lang w:val="fr-BE"/>
        </w:rPr>
        <w:t>стойност</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t>Проектите, попадащи в територии от Натура 2000, преди одобрението им ще бъдат проверявани за съответствие с разпоредбите на Закона за биологичното разнообразие и съответните подзаконови нормативни актове за неговото прилагане.</w:t>
            </w:r>
          </w:p>
          <w:p w:rsidR="00BD3E0A" w:rsidRDefault="0003502D">
            <w:pPr>
              <w:pStyle w:val="Standard"/>
              <w:spacing w:line="360" w:lineRule="auto"/>
              <w:jc w:val="both"/>
            </w:pPr>
            <w:r>
              <w:t>По инвестиционните проекти оценката на въздействието върху околната среда (ОВОС) или решение по оценка на въздействие върху околната среда съгласно Закона за опазване на околната среда ще се извършва от съответните структури на Министерство на околната среда и водите (МОСВ).</w:t>
            </w:r>
          </w:p>
          <w:p w:rsidR="00BD3E0A" w:rsidRDefault="0003502D">
            <w:pPr>
              <w:pStyle w:val="Standard"/>
              <w:spacing w:line="360" w:lineRule="auto"/>
              <w:jc w:val="both"/>
            </w:pPr>
            <w:r>
              <w:t>За проекти с инвестиции съответните структури на МОСВ ще извършват и оценка за съвместимостта на инвестиционните предложения с предмета и целите на опазване на защитените зони съгласно Наредба за условията и реда за извършване на оценка за съвместимостта на планове, програми.</w:t>
            </w:r>
          </w:p>
        </w:tc>
      </w:tr>
    </w:tbl>
    <w:p w:rsidR="00BD3E0A" w:rsidRDefault="0003502D" w:rsidP="00A50C94">
      <w:pPr>
        <w:pStyle w:val="Standard"/>
        <w:keepNext/>
        <w:numPr>
          <w:ilvl w:val="0"/>
          <w:numId w:val="101"/>
        </w:numPr>
        <w:spacing w:before="240" w:after="240"/>
        <w:jc w:val="both"/>
        <w:outlineLvl w:val="0"/>
      </w:pPr>
      <w:r>
        <w:rPr>
          <w:b/>
          <w:smallCaps/>
          <w:lang w:val="fr-BE"/>
        </w:rPr>
        <w:t>Описание на насочеността на подкрепатакъмстопанствата в съответствиесъс SWOT анализа, извършенвъввръзка с приоритета, посочен в член 5, параграф 2 отРегламент (ЕС) № 1305/2013</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t>Съществуващите хидромелиоративни системи и съоръжения са строени главно през 60-те и 70-те години на миналия век и са в критично физическо състояние и влошена функционалност, което води до значителни загуби на поливна вода в линейната инфраструктура и основните съоръжения. Формира се висока цена на поливната вода, което води от своя страна до отказване на земеделските производители от поливни услуги.</w:t>
            </w:r>
          </w:p>
          <w:p w:rsidR="00BD3E0A" w:rsidRDefault="0003502D">
            <w:pPr>
              <w:pStyle w:val="Standard"/>
              <w:spacing w:line="360" w:lineRule="auto"/>
              <w:jc w:val="both"/>
            </w:pPr>
            <w:r>
              <w:t>Подпомагането ще бъде насочено към чувствителни сектори в земеделското производство и в райони с висока концентрация на поливни култури. Приоритетите и целевото насочване на помощта са съобразени с направения анализ в Стратегията разработена от Световната банка. Приоритетното насочване на средствата ще бъде осигурено чрез критериите за подбор.</w:t>
            </w:r>
          </w:p>
        </w:tc>
      </w:tr>
    </w:tbl>
    <w:p w:rsidR="00BD3E0A" w:rsidRPr="00B27CEC" w:rsidRDefault="0003502D" w:rsidP="00A50C94">
      <w:pPr>
        <w:pStyle w:val="Standard"/>
        <w:keepNext/>
        <w:numPr>
          <w:ilvl w:val="0"/>
          <w:numId w:val="101"/>
        </w:numPr>
        <w:spacing w:before="240" w:after="240"/>
        <w:jc w:val="both"/>
        <w:outlineLvl w:val="0"/>
        <w:rPr>
          <w:b/>
          <w:smallCaps/>
        </w:rPr>
      </w:pPr>
      <w:r>
        <w:rPr>
          <w:b/>
          <w:smallCaps/>
          <w:lang w:val="fr-BE"/>
        </w:rPr>
        <w:t>Списък с новите</w:t>
      </w:r>
      <w:r>
        <w:rPr>
          <w:b/>
          <w:smallCaps/>
        </w:rPr>
        <w:t xml:space="preserve"> </w:t>
      </w:r>
      <w:r>
        <w:rPr>
          <w:b/>
          <w:smallCaps/>
          <w:lang w:val="fr-BE"/>
        </w:rPr>
        <w:t>изисквания, наложени</w:t>
      </w:r>
      <w:r>
        <w:rPr>
          <w:b/>
          <w:smallCaps/>
        </w:rPr>
        <w:t xml:space="preserve"> </w:t>
      </w:r>
      <w:r>
        <w:rPr>
          <w:b/>
          <w:smallCaps/>
          <w:lang w:val="fr-BE"/>
        </w:rPr>
        <w:t>от</w:t>
      </w:r>
      <w:r>
        <w:rPr>
          <w:b/>
          <w:smallCaps/>
        </w:rPr>
        <w:t xml:space="preserve"> </w:t>
      </w:r>
      <w:r>
        <w:rPr>
          <w:b/>
          <w:smallCaps/>
          <w:lang w:val="fr-BE"/>
        </w:rPr>
        <w:t>законодателството на Съюза, за</w:t>
      </w:r>
      <w:r>
        <w:rPr>
          <w:b/>
          <w:smallCaps/>
        </w:rPr>
        <w:t xml:space="preserve"> </w:t>
      </w:r>
      <w:r>
        <w:rPr>
          <w:b/>
          <w:smallCaps/>
          <w:lang w:val="fr-BE"/>
        </w:rPr>
        <w:t>спазването на които</w:t>
      </w:r>
      <w:r>
        <w:rPr>
          <w:b/>
          <w:smallCaps/>
        </w:rPr>
        <w:t xml:space="preserve"> </w:t>
      </w:r>
      <w:r>
        <w:rPr>
          <w:b/>
          <w:smallCaps/>
          <w:lang w:val="fr-BE"/>
        </w:rPr>
        <w:t>може</w:t>
      </w:r>
      <w:r>
        <w:rPr>
          <w:b/>
          <w:smallCaps/>
        </w:rPr>
        <w:t xml:space="preserve"> </w:t>
      </w:r>
      <w:r>
        <w:rPr>
          <w:b/>
          <w:smallCaps/>
          <w:lang w:val="fr-BE"/>
        </w:rPr>
        <w:t>да</w:t>
      </w:r>
      <w:r>
        <w:rPr>
          <w:b/>
          <w:smallCaps/>
        </w:rPr>
        <w:t xml:space="preserve"> </w:t>
      </w:r>
      <w:r>
        <w:rPr>
          <w:b/>
          <w:smallCaps/>
          <w:lang w:val="fr-BE"/>
        </w:rPr>
        <w:t>бъде</w:t>
      </w:r>
      <w:r>
        <w:rPr>
          <w:b/>
          <w:smallCaps/>
        </w:rPr>
        <w:t xml:space="preserve"> </w:t>
      </w:r>
      <w:r>
        <w:rPr>
          <w:b/>
          <w:smallCaps/>
          <w:lang w:val="fr-BE"/>
        </w:rPr>
        <w:t>предоставено</w:t>
      </w:r>
      <w:r>
        <w:rPr>
          <w:b/>
          <w:smallCaps/>
        </w:rPr>
        <w:t xml:space="preserve"> </w:t>
      </w:r>
      <w:r>
        <w:rPr>
          <w:b/>
          <w:smallCaps/>
          <w:lang w:val="fr-BE"/>
        </w:rPr>
        <w:t>подпомагане</w:t>
      </w:r>
      <w:r>
        <w:rPr>
          <w:b/>
          <w:smallCaps/>
        </w:rPr>
        <w:t xml:space="preserve"> </w:t>
      </w:r>
      <w:r>
        <w:rPr>
          <w:b/>
          <w:smallCaps/>
          <w:lang w:val="fr-BE"/>
        </w:rPr>
        <w:t>по</w:t>
      </w:r>
      <w:r>
        <w:rPr>
          <w:b/>
          <w:smallCaps/>
        </w:rPr>
        <w:t xml:space="preserve"> </w:t>
      </w:r>
      <w:r>
        <w:rPr>
          <w:b/>
          <w:smallCaps/>
          <w:lang w:val="fr-BE"/>
        </w:rPr>
        <w:t>силата на член 17, параграф 6 от</w:t>
      </w:r>
      <w:r>
        <w:rPr>
          <w:b/>
          <w:smallCaps/>
        </w:rPr>
        <w:t xml:space="preserve"> </w:t>
      </w:r>
      <w:r>
        <w:rPr>
          <w:b/>
          <w:smallCaps/>
          <w:lang w:val="fr-BE"/>
        </w:rPr>
        <w:t>Регламент (ЕС) № 1305/2013</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t>Неприложимо</w:t>
            </w:r>
          </w:p>
        </w:tc>
      </w:tr>
    </w:tbl>
    <w:p w:rsidR="00BD3E0A" w:rsidRDefault="0003502D" w:rsidP="00A50C94">
      <w:pPr>
        <w:pStyle w:val="Standard"/>
        <w:keepNext/>
        <w:numPr>
          <w:ilvl w:val="0"/>
          <w:numId w:val="101"/>
        </w:numPr>
        <w:spacing w:before="240" w:after="240"/>
        <w:jc w:val="both"/>
        <w:outlineLvl w:val="0"/>
      </w:pPr>
      <w:r>
        <w:rPr>
          <w:b/>
          <w:smallCaps/>
          <w:lang w:val="fr-BE"/>
        </w:rPr>
        <w:lastRenderedPageBreak/>
        <w:t>По</w:t>
      </w:r>
      <w:r>
        <w:rPr>
          <w:b/>
          <w:smallCaps/>
        </w:rPr>
        <w:t xml:space="preserve"> </w:t>
      </w:r>
      <w:r>
        <w:rPr>
          <w:b/>
          <w:smallCaps/>
          <w:lang w:val="fr-BE"/>
        </w:rPr>
        <w:t>целесъобразност, минимални</w:t>
      </w:r>
      <w:r>
        <w:rPr>
          <w:b/>
          <w:smallCaps/>
        </w:rPr>
        <w:t xml:space="preserve"> </w:t>
      </w:r>
      <w:r>
        <w:rPr>
          <w:b/>
          <w:smallCaps/>
          <w:lang w:val="fr-BE"/>
        </w:rPr>
        <w:t>стандарти</w:t>
      </w:r>
      <w:r>
        <w:rPr>
          <w:b/>
          <w:smallCaps/>
        </w:rPr>
        <w:t xml:space="preserve"> </w:t>
      </w:r>
      <w:r>
        <w:rPr>
          <w:b/>
          <w:smallCaps/>
          <w:lang w:val="fr-BE"/>
        </w:rPr>
        <w:t>за</w:t>
      </w:r>
      <w:r>
        <w:rPr>
          <w:b/>
          <w:smallCaps/>
        </w:rPr>
        <w:t xml:space="preserve"> </w:t>
      </w:r>
      <w:r>
        <w:rPr>
          <w:b/>
          <w:smallCaps/>
          <w:lang w:val="fr-BE"/>
        </w:rPr>
        <w:t>енергийна</w:t>
      </w:r>
      <w:r>
        <w:rPr>
          <w:b/>
          <w:smallCaps/>
        </w:rPr>
        <w:t xml:space="preserve"> </w:t>
      </w:r>
      <w:r>
        <w:rPr>
          <w:b/>
          <w:smallCaps/>
          <w:lang w:val="fr-BE"/>
        </w:rPr>
        <w:t>ефективност, посочени в член 13, буква в) отДелегиран</w:t>
      </w:r>
      <w:r>
        <w:rPr>
          <w:b/>
          <w:smallCaps/>
        </w:rPr>
        <w:t xml:space="preserve"> </w:t>
      </w:r>
      <w:r>
        <w:rPr>
          <w:b/>
          <w:smallCaps/>
          <w:lang w:val="fr-BE"/>
        </w:rPr>
        <w:t>регламент (ЕС) № 807/2014</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t>Неприложимо</w:t>
            </w:r>
          </w:p>
        </w:tc>
      </w:tr>
    </w:tbl>
    <w:p w:rsidR="00BD3E0A" w:rsidRDefault="0003502D" w:rsidP="00A50C94">
      <w:pPr>
        <w:pStyle w:val="Standard"/>
        <w:keepNext/>
        <w:numPr>
          <w:ilvl w:val="0"/>
          <w:numId w:val="101"/>
        </w:numPr>
        <w:spacing w:before="240" w:after="240"/>
        <w:jc w:val="both"/>
        <w:outlineLvl w:val="0"/>
      </w:pPr>
      <w:r>
        <w:rPr>
          <w:b/>
          <w:smallCaps/>
          <w:lang w:val="fr-BE"/>
        </w:rPr>
        <w:t>По</w:t>
      </w:r>
      <w:r>
        <w:rPr>
          <w:b/>
          <w:smallCaps/>
        </w:rPr>
        <w:t xml:space="preserve"> </w:t>
      </w:r>
      <w:r>
        <w:rPr>
          <w:b/>
          <w:smallCaps/>
          <w:lang w:val="fr-BE"/>
        </w:rPr>
        <w:t>целесъобразност, определяне на праговете, посочени в член 13, буква д) отДелегиранрегламент (ЕС) № 807/2014</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pPr>
            <w:r>
              <w:t>Неприложимо</w:t>
            </w:r>
          </w:p>
        </w:tc>
      </w:tr>
    </w:tbl>
    <w:p w:rsidR="00BD3E0A" w:rsidRDefault="00B27CEC">
      <w:pPr>
        <w:pStyle w:val="Standard"/>
        <w:keepNext/>
        <w:spacing w:before="240" w:after="240"/>
        <w:jc w:val="both"/>
        <w:outlineLvl w:val="1"/>
      </w:pPr>
      <w:r>
        <w:rPr>
          <w:b/>
        </w:rPr>
        <w:t xml:space="preserve">14.1 </w:t>
      </w:r>
      <w:r w:rsidR="0003502D">
        <w:rPr>
          <w:b/>
          <w:lang w:val="fr-BE"/>
        </w:rPr>
        <w:t>Друга</w:t>
      </w:r>
      <w:r w:rsidR="0003502D">
        <w:rPr>
          <w:b/>
        </w:rPr>
        <w:t xml:space="preserve"> </w:t>
      </w:r>
      <w:r w:rsidR="0003502D">
        <w:rPr>
          <w:b/>
          <w:lang w:val="fr-BE"/>
        </w:rPr>
        <w:t>важна</w:t>
      </w:r>
      <w:r w:rsidR="0003502D">
        <w:rPr>
          <w:b/>
        </w:rPr>
        <w:t xml:space="preserve"> </w:t>
      </w:r>
      <w:r w:rsidR="0003502D">
        <w:rPr>
          <w:b/>
          <w:lang w:val="fr-BE"/>
        </w:rPr>
        <w:t>информация, необходима</w:t>
      </w:r>
      <w:r w:rsidR="0003502D">
        <w:rPr>
          <w:b/>
        </w:rPr>
        <w:t xml:space="preserve"> </w:t>
      </w:r>
      <w:r w:rsidR="0003502D">
        <w:rPr>
          <w:b/>
          <w:lang w:val="fr-BE"/>
        </w:rPr>
        <w:t>за</w:t>
      </w:r>
      <w:r w:rsidR="0003502D">
        <w:rPr>
          <w:b/>
        </w:rPr>
        <w:t xml:space="preserve"> </w:t>
      </w:r>
      <w:r w:rsidR="0003502D">
        <w:rPr>
          <w:b/>
          <w:lang w:val="fr-BE"/>
        </w:rPr>
        <w:t>по-доброто</w:t>
      </w:r>
      <w:r w:rsidR="0003502D">
        <w:rPr>
          <w:b/>
        </w:rPr>
        <w:t xml:space="preserve"> </w:t>
      </w:r>
      <w:r w:rsidR="0003502D">
        <w:rPr>
          <w:b/>
          <w:lang w:val="fr-BE"/>
        </w:rPr>
        <w:t>разбиране и прилагане на мярката</w:t>
      </w:r>
    </w:p>
    <w:tbl>
      <w:tblPr>
        <w:tblW w:w="9648" w:type="dxa"/>
        <w:tblInd w:w="284" w:type="dxa"/>
        <w:tblLayout w:type="fixed"/>
        <w:tblCellMar>
          <w:left w:w="10" w:type="dxa"/>
          <w:right w:w="10" w:type="dxa"/>
        </w:tblCellMar>
        <w:tblLook w:val="0000" w:firstRow="0" w:lastRow="0" w:firstColumn="0" w:lastColumn="0" w:noHBand="0" w:noVBand="0"/>
      </w:tblPr>
      <w:tblGrid>
        <w:gridCol w:w="9648"/>
      </w:tblGrid>
      <w:tr w:rsidR="00BD3E0A">
        <w:tc>
          <w:tcPr>
            <w:tcW w:w="9648" w:type="dxa"/>
            <w:tcBorders>
              <w:top w:val="single" w:sz="8" w:space="0" w:color="000001"/>
              <w:left w:val="single" w:sz="8" w:space="0" w:color="000001"/>
              <w:bottom w:val="single" w:sz="8" w:space="0" w:color="000001"/>
              <w:right w:val="single" w:sz="8" w:space="0" w:color="000001"/>
            </w:tcBorders>
            <w:shd w:val="clear" w:color="auto" w:fill="FFFFFF"/>
            <w:tcMar>
              <w:top w:w="120" w:type="dxa"/>
              <w:left w:w="108" w:type="dxa"/>
              <w:bottom w:w="120" w:type="dxa"/>
              <w:right w:w="108" w:type="dxa"/>
            </w:tcMar>
            <w:vAlign w:val="center"/>
          </w:tcPr>
          <w:p w:rsidR="00BD3E0A" w:rsidRDefault="0003502D">
            <w:pPr>
              <w:pStyle w:val="Standard"/>
              <w:spacing w:line="360" w:lineRule="auto"/>
              <w:jc w:val="both"/>
            </w:pPr>
            <w:r>
              <w:rPr>
                <w:b/>
                <w:smallCaps/>
              </w:rPr>
              <w:t>Процедури по подмярка 4.3 относно: </w:t>
            </w:r>
          </w:p>
          <w:p w:rsidR="00BD3E0A" w:rsidRDefault="0003502D" w:rsidP="00386C69">
            <w:pPr>
              <w:pStyle w:val="Standard"/>
              <w:numPr>
                <w:ilvl w:val="0"/>
                <w:numId w:val="45"/>
              </w:numPr>
              <w:spacing w:before="120" w:after="120" w:line="360" w:lineRule="auto"/>
              <w:jc w:val="both"/>
            </w:pPr>
            <w:r>
              <w:rPr>
                <w:b/>
                <w:bCs/>
              </w:rPr>
              <w:t>Набиране на проектни предложения</w:t>
            </w:r>
          </w:p>
          <w:p w:rsidR="00BD3E0A" w:rsidRDefault="0003502D">
            <w:pPr>
              <w:pStyle w:val="Standard"/>
              <w:spacing w:line="360" w:lineRule="auto"/>
              <w:jc w:val="both"/>
            </w:pPr>
            <w:r>
              <w:t xml:space="preserve">Процесът на избиране на </w:t>
            </w:r>
            <w:r>
              <w:rPr>
                <w:b/>
                <w:bCs/>
              </w:rPr>
              <w:t xml:space="preserve">проектни предложения </w:t>
            </w:r>
            <w:r>
              <w:t>за финансиране ще се осъществява с публични обяви. Изборът на проекти се извършва от оценителни комисии. Процесът на оценка ще бъде проследим в ИСУН 2020.</w:t>
            </w:r>
          </w:p>
          <w:p w:rsidR="00BD3E0A" w:rsidRDefault="0003502D" w:rsidP="00386C69">
            <w:pPr>
              <w:pStyle w:val="Standard"/>
              <w:numPr>
                <w:ilvl w:val="0"/>
                <w:numId w:val="45"/>
              </w:numPr>
              <w:spacing w:before="120" w:after="120" w:line="360" w:lineRule="auto"/>
              <w:jc w:val="both"/>
            </w:pPr>
            <w:r>
              <w:rPr>
                <w:b/>
                <w:bCs/>
              </w:rPr>
              <w:t>Прилагане на критериите за подбор</w:t>
            </w:r>
          </w:p>
          <w:p w:rsidR="00BD3E0A" w:rsidRDefault="0003502D">
            <w:pPr>
              <w:pStyle w:val="Standard"/>
              <w:spacing w:line="360" w:lineRule="auto"/>
              <w:jc w:val="both"/>
            </w:pPr>
            <w:r>
              <w:t xml:space="preserve">Класирането на подадените </w:t>
            </w:r>
            <w:r>
              <w:rPr>
                <w:b/>
                <w:bCs/>
              </w:rPr>
              <w:t xml:space="preserve">проектни предложения </w:t>
            </w:r>
            <w:r>
              <w:t>по всяка обява ще се осъществява съгласно критериите за подбор, одобрени от Комитета за наблюдение на Програмата.</w:t>
            </w:r>
          </w:p>
          <w:p w:rsidR="00BD3E0A" w:rsidRDefault="0003502D" w:rsidP="00386C69">
            <w:pPr>
              <w:pStyle w:val="Standard"/>
              <w:numPr>
                <w:ilvl w:val="0"/>
                <w:numId w:val="45"/>
              </w:numPr>
              <w:spacing w:before="120" w:after="120" w:line="360" w:lineRule="auto"/>
              <w:jc w:val="both"/>
            </w:pPr>
            <w:r>
              <w:rPr>
                <w:b/>
                <w:bCs/>
              </w:rPr>
              <w:t>Условия за съставяне на комисии за оценка по подмерките:</w:t>
            </w:r>
          </w:p>
          <w:p w:rsidR="00BD3E0A" w:rsidRDefault="0003502D">
            <w:pPr>
              <w:pStyle w:val="Standard"/>
              <w:spacing w:line="360" w:lineRule="auto"/>
              <w:jc w:val="both"/>
            </w:pPr>
            <w:r>
              <w:t>По всяка обява се определя конкретен състав на комисията, като се спазват правилата за липса на конфликт на интереси.</w:t>
            </w:r>
          </w:p>
        </w:tc>
      </w:tr>
    </w:tbl>
    <w:p w:rsidR="00BD3E0A" w:rsidRDefault="00BD3E0A">
      <w:pPr>
        <w:pStyle w:val="Standard"/>
        <w:ind w:left="426"/>
        <w:jc w:val="both"/>
        <w:rPr>
          <w:b/>
        </w:rPr>
      </w:pPr>
    </w:p>
    <w:p w:rsidR="00BD3E0A" w:rsidRDefault="00BD3E0A">
      <w:pPr>
        <w:pStyle w:val="Standard"/>
        <w:ind w:left="426"/>
        <w:jc w:val="both"/>
        <w:rPr>
          <w:b/>
        </w:rPr>
      </w:pPr>
    </w:p>
    <w:p w:rsidR="00BD3E0A" w:rsidRDefault="00BD3E0A">
      <w:pPr>
        <w:pStyle w:val="Standard"/>
        <w:ind w:left="426"/>
        <w:jc w:val="both"/>
        <w:rPr>
          <w:b/>
        </w:rPr>
      </w:pPr>
    </w:p>
    <w:p w:rsidR="00BD3E0A" w:rsidRDefault="00BD3E0A">
      <w:pPr>
        <w:pStyle w:val="Standard"/>
        <w:ind w:left="426"/>
        <w:jc w:val="both"/>
        <w:rPr>
          <w:b/>
        </w:rPr>
      </w:pPr>
    </w:p>
    <w:p w:rsidR="00BD3E0A" w:rsidRDefault="00BD3E0A">
      <w:pPr>
        <w:pStyle w:val="Standard"/>
        <w:ind w:left="426"/>
        <w:jc w:val="both"/>
        <w:rPr>
          <w:b/>
        </w:rPr>
      </w:pPr>
    </w:p>
    <w:p w:rsidR="004F1221" w:rsidRDefault="004F1221" w:rsidP="004F1221">
      <w:pPr>
        <w:pStyle w:val="Standard"/>
        <w:ind w:left="426"/>
        <w:jc w:val="right"/>
      </w:pPr>
      <w:r>
        <w:rPr>
          <w:b/>
          <w:i/>
        </w:rPr>
        <w:t>Приложение № 4</w:t>
      </w:r>
    </w:p>
    <w:p w:rsidR="00BD3E0A" w:rsidRDefault="00BD3E0A" w:rsidP="004F1221">
      <w:pPr>
        <w:pStyle w:val="Standard"/>
        <w:ind w:left="426"/>
        <w:jc w:val="right"/>
        <w:rPr>
          <w:b/>
        </w:rPr>
      </w:pPr>
    </w:p>
    <w:p w:rsidR="00AC39E9" w:rsidRPr="00AC39E9" w:rsidRDefault="00AC39E9" w:rsidP="00AC39E9">
      <w:pPr>
        <w:widowControl/>
        <w:suppressAutoHyphens w:val="0"/>
        <w:autoSpaceDN/>
        <w:spacing w:before="120" w:after="120" w:line="240" w:lineRule="auto"/>
        <w:jc w:val="center"/>
        <w:textAlignment w:val="auto"/>
        <w:rPr>
          <w:rFonts w:ascii="Times New Roman" w:eastAsia="Times New Roman" w:hAnsi="Times New Roman" w:cs="Times New Roman"/>
          <w:kern w:val="0"/>
          <w:sz w:val="24"/>
          <w:szCs w:val="20"/>
          <w:u w:val="single"/>
        </w:rPr>
      </w:pPr>
      <w:bookmarkStart w:id="1" w:name="_Toc256000388"/>
      <w:bookmarkStart w:id="2" w:name="_Toc256000125"/>
      <w:r w:rsidRPr="00AC39E9">
        <w:rPr>
          <w:rFonts w:ascii="Times New Roman" w:eastAsia="Times New Roman" w:hAnsi="Times New Roman" w:cs="Times New Roman"/>
          <w:kern w:val="0"/>
          <w:sz w:val="24"/>
          <w:szCs w:val="24"/>
          <w:u w:val="single"/>
        </w:rPr>
        <w:t>Отразяване на резултати от преразглеждането на размера на подпомагане по мерки 10 „Агро</w:t>
      </w:r>
      <w:r w:rsidRPr="00AC39E9">
        <w:rPr>
          <w:rFonts w:ascii="Times New Roman" w:eastAsia="Times New Roman" w:hAnsi="Times New Roman" w:cs="Times New Roman"/>
          <w:kern w:val="0"/>
          <w:sz w:val="24"/>
          <w:szCs w:val="24"/>
          <w:u w:val="single"/>
        </w:rPr>
        <w:t>е</w:t>
      </w:r>
      <w:r w:rsidRPr="00AC39E9">
        <w:rPr>
          <w:rFonts w:ascii="Times New Roman" w:eastAsia="Times New Roman" w:hAnsi="Times New Roman" w:cs="Times New Roman"/>
          <w:kern w:val="0"/>
          <w:sz w:val="24"/>
          <w:szCs w:val="24"/>
          <w:u w:val="single"/>
        </w:rPr>
        <w:t>кология и климат“, 11 „Биологично земеделие“, 12 „Плащания по „Натура 2000“ и Рамковата директива за водите“ след анализ и оценка на промяна на в практиките по чл. 43 от Регламент 1307/2013</w:t>
      </w:r>
    </w:p>
    <w:p w:rsidR="00AC39E9" w:rsidRPr="00AC39E9" w:rsidRDefault="00AC39E9" w:rsidP="00AC39E9">
      <w:pPr>
        <w:widowControl/>
        <w:suppressAutoHyphens w:val="0"/>
        <w:autoSpaceDN/>
        <w:spacing w:before="120" w:after="120" w:line="240" w:lineRule="auto"/>
        <w:textAlignment w:val="auto"/>
        <w:rPr>
          <w:rFonts w:ascii="Times New Roman" w:eastAsia="Times New Roman" w:hAnsi="Times New Roman" w:cs="Times New Roman"/>
          <w:kern w:val="0"/>
          <w:sz w:val="24"/>
          <w:szCs w:val="20"/>
        </w:rPr>
      </w:pP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r w:rsidRPr="00AC39E9">
        <w:rPr>
          <w:rFonts w:ascii="Times New Roman" w:eastAsia="Times New Roman" w:hAnsi="Times New Roman" w:cs="Times New Roman"/>
          <w:kern w:val="0"/>
          <w:sz w:val="24"/>
          <w:szCs w:val="20"/>
        </w:rPr>
        <w:tab/>
        <w:t>Във връзка с влезлите в сила от 01.01.2018 г. изменения в изисквания към практиките по чл. 43 от Регламент 1307/2013, включващи забрана за употреба на продукти за растителна защита, бе възложена независима оценка и анализ на необходимостта от преразглеждане на нивата на подпомагане за дейностите, финансирани по мярка 10 „Агроекология и климат“, мярка 11 „Биологично земеделие“ и мярка 12“</w:t>
      </w:r>
      <w:r w:rsidRPr="00AC39E9">
        <w:rPr>
          <w:rFonts w:ascii="Times New Roman" w:eastAsia="Times New Roman" w:hAnsi="Times New Roman" w:cs="Times New Roman"/>
          <w:kern w:val="0"/>
          <w:sz w:val="24"/>
          <w:szCs w:val="20"/>
          <w:lang w:val="en-GB"/>
        </w:rPr>
        <w:t xml:space="preserve"> </w:t>
      </w:r>
      <w:r w:rsidRPr="00AC39E9">
        <w:rPr>
          <w:rFonts w:ascii="Times New Roman" w:eastAsia="Times New Roman" w:hAnsi="Times New Roman" w:cs="Times New Roman"/>
          <w:kern w:val="0"/>
          <w:sz w:val="24"/>
          <w:szCs w:val="20"/>
        </w:rPr>
        <w:t>„Плащания по „Натура 2000“ и Рамковата д</w:t>
      </w:r>
      <w:r w:rsidRPr="00AC39E9">
        <w:rPr>
          <w:rFonts w:ascii="Times New Roman" w:eastAsia="Times New Roman" w:hAnsi="Times New Roman" w:cs="Times New Roman"/>
          <w:kern w:val="0"/>
          <w:sz w:val="24"/>
          <w:szCs w:val="20"/>
        </w:rPr>
        <w:t>и</w:t>
      </w:r>
      <w:r w:rsidRPr="00AC39E9">
        <w:rPr>
          <w:rFonts w:ascii="Times New Roman" w:eastAsia="Times New Roman" w:hAnsi="Times New Roman" w:cs="Times New Roman"/>
          <w:kern w:val="0"/>
          <w:sz w:val="24"/>
          <w:szCs w:val="20"/>
        </w:rPr>
        <w:lastRenderedPageBreak/>
        <w:t>ректива за водите“ от ПРСР 2014. С цел избягване на двойното финансиране е налице е нео</w:t>
      </w:r>
      <w:r w:rsidRPr="00AC39E9">
        <w:rPr>
          <w:rFonts w:ascii="Times New Roman" w:eastAsia="Times New Roman" w:hAnsi="Times New Roman" w:cs="Times New Roman"/>
          <w:kern w:val="0"/>
          <w:sz w:val="24"/>
          <w:szCs w:val="20"/>
        </w:rPr>
        <w:t>б</w:t>
      </w:r>
      <w:r w:rsidRPr="00AC39E9">
        <w:rPr>
          <w:rFonts w:ascii="Times New Roman" w:eastAsia="Times New Roman" w:hAnsi="Times New Roman" w:cs="Times New Roman"/>
          <w:kern w:val="0"/>
          <w:sz w:val="24"/>
          <w:szCs w:val="20"/>
        </w:rPr>
        <w:t>ходимост от изменения в размера на финансовото подпомагане за операции от тези мерки.</w:t>
      </w:r>
    </w:p>
    <w:p w:rsidR="00AC39E9" w:rsidRPr="00AC39E9" w:rsidRDefault="00AC39E9" w:rsidP="00AC39E9">
      <w:pPr>
        <w:widowControl/>
        <w:suppressAutoHyphens w:val="0"/>
        <w:autoSpaceDN/>
        <w:spacing w:before="120" w:after="120" w:line="240" w:lineRule="auto"/>
        <w:ind w:firstLine="720"/>
        <w:jc w:val="both"/>
        <w:textAlignment w:val="auto"/>
        <w:rPr>
          <w:rFonts w:ascii="Times New Roman" w:eastAsia="Times New Roman" w:hAnsi="Times New Roman" w:cs="Times New Roman"/>
          <w:kern w:val="0"/>
          <w:sz w:val="24"/>
          <w:szCs w:val="20"/>
        </w:rPr>
      </w:pPr>
      <w:r w:rsidRPr="00AC39E9">
        <w:rPr>
          <w:rFonts w:ascii="Times New Roman" w:eastAsia="Times New Roman" w:hAnsi="Times New Roman" w:cs="Times New Roman"/>
          <w:kern w:val="0"/>
          <w:sz w:val="24"/>
          <w:szCs w:val="20"/>
        </w:rPr>
        <w:t>Налице е и промяна в приложимото национално законодателство по отношение на изискванията за биологично производство, като от 12.11.2018 г. е в сила Наредба № 5 от 3 септември 2018 г. за прилагане на правилата на биологично производство, етикетиране и ко</w:t>
      </w:r>
      <w:r w:rsidRPr="00AC39E9">
        <w:rPr>
          <w:rFonts w:ascii="Times New Roman" w:eastAsia="Times New Roman" w:hAnsi="Times New Roman" w:cs="Times New Roman"/>
          <w:kern w:val="0"/>
          <w:sz w:val="24"/>
          <w:szCs w:val="20"/>
        </w:rPr>
        <w:t>н</w:t>
      </w:r>
      <w:r w:rsidRPr="00AC39E9">
        <w:rPr>
          <w:rFonts w:ascii="Times New Roman" w:eastAsia="Times New Roman" w:hAnsi="Times New Roman" w:cs="Times New Roman"/>
          <w:kern w:val="0"/>
          <w:sz w:val="24"/>
          <w:szCs w:val="20"/>
        </w:rPr>
        <w:t>трол, и за издаване на разрешение за контролна дейност за спазване на правилата на биол</w:t>
      </w:r>
      <w:r w:rsidRPr="00AC39E9">
        <w:rPr>
          <w:rFonts w:ascii="Times New Roman" w:eastAsia="Times New Roman" w:hAnsi="Times New Roman" w:cs="Times New Roman"/>
          <w:kern w:val="0"/>
          <w:sz w:val="24"/>
          <w:szCs w:val="20"/>
        </w:rPr>
        <w:t>о</w:t>
      </w:r>
      <w:r w:rsidRPr="00AC39E9">
        <w:rPr>
          <w:rFonts w:ascii="Times New Roman" w:eastAsia="Times New Roman" w:hAnsi="Times New Roman" w:cs="Times New Roman"/>
          <w:kern w:val="0"/>
          <w:sz w:val="24"/>
          <w:szCs w:val="20"/>
        </w:rPr>
        <w:t>гичното производство, както и за последващ официален надзор върху контролиращите лица, с която се отменя Наредба № 1 от 2013 г., посочена като референтна в текстовете на ПРСР 2014-2020 г.</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color w:val="000000"/>
          <w:kern w:val="0"/>
          <w:szCs w:val="24"/>
        </w:rPr>
      </w:pPr>
      <w:r w:rsidRPr="00AC39E9">
        <w:rPr>
          <w:rFonts w:ascii="Times New Roman" w:eastAsia="Times New Roman" w:hAnsi="Times New Roman" w:cs="Times New Roman"/>
          <w:kern w:val="0"/>
          <w:sz w:val="24"/>
          <w:szCs w:val="20"/>
        </w:rPr>
        <w:tab/>
      </w:r>
      <w:r w:rsidRPr="00AC39E9">
        <w:rPr>
          <w:rFonts w:ascii="Times New Roman" w:eastAsia="Times New Roman" w:hAnsi="Times New Roman" w:cs="Times New Roman"/>
          <w:color w:val="000000"/>
          <w:kern w:val="0"/>
          <w:szCs w:val="24"/>
        </w:rPr>
        <w:t>Управляващият орган предлага допълнение на текстовете на мерки 10, 11 и 12 в програмата, както следва:</w:t>
      </w:r>
    </w:p>
    <w:p w:rsidR="00AC39E9" w:rsidRPr="00AC39E9" w:rsidRDefault="00AC39E9" w:rsidP="00386C69">
      <w:pPr>
        <w:widowControl/>
        <w:numPr>
          <w:ilvl w:val="0"/>
          <w:numId w:val="58"/>
        </w:numPr>
        <w:suppressAutoHyphens w:val="0"/>
        <w:autoSpaceDN/>
        <w:spacing w:before="120" w:after="120" w:line="240" w:lineRule="auto"/>
        <w:contextualSpacing/>
        <w:jc w:val="both"/>
        <w:textAlignment w:val="auto"/>
        <w:rPr>
          <w:rFonts w:ascii="Times New Roman" w:eastAsia="Times New Roman" w:hAnsi="Times New Roman" w:cs="Times New Roman"/>
          <w:kern w:val="0"/>
          <w:sz w:val="24"/>
          <w:szCs w:val="24"/>
          <w:lang w:val="en-US" w:eastAsia="uk-UA"/>
        </w:rPr>
      </w:pPr>
      <w:r w:rsidRPr="00AC39E9">
        <w:rPr>
          <w:rFonts w:ascii="Times New Roman" w:eastAsia="Times New Roman" w:hAnsi="Times New Roman" w:cs="Times New Roman"/>
          <w:color w:val="000000"/>
          <w:kern w:val="0"/>
          <w:szCs w:val="24"/>
        </w:rPr>
        <w:t>По отношение на мярка 10 „Агроекология и климат“</w:t>
      </w:r>
    </w:p>
    <w:p w:rsidR="00AC39E9" w:rsidRPr="00AC39E9" w:rsidRDefault="00AC39E9" w:rsidP="00386C69">
      <w:pPr>
        <w:widowControl/>
        <w:numPr>
          <w:ilvl w:val="0"/>
          <w:numId w:val="57"/>
        </w:numPr>
        <w:suppressAutoHyphens w:val="0"/>
        <w:autoSpaceDN/>
        <w:spacing w:before="120" w:after="120" w:line="240" w:lineRule="auto"/>
        <w:ind w:left="426" w:hanging="142"/>
        <w:contextualSpacing/>
        <w:jc w:val="both"/>
        <w:textAlignment w:val="auto"/>
        <w:rPr>
          <w:rFonts w:ascii="Times New Roman" w:eastAsia="Times New Roman" w:hAnsi="Times New Roman" w:cs="Times New Roman"/>
          <w:i/>
          <w:kern w:val="0"/>
          <w:sz w:val="24"/>
          <w:szCs w:val="20"/>
        </w:rPr>
      </w:pPr>
      <w:r w:rsidRPr="00AC39E9">
        <w:rPr>
          <w:rFonts w:ascii="Times New Roman" w:eastAsia="Times New Roman" w:hAnsi="Times New Roman" w:cs="Times New Roman"/>
          <w:i/>
          <w:kern w:val="0"/>
          <w:sz w:val="24"/>
          <w:szCs w:val="20"/>
        </w:rPr>
        <w:t xml:space="preserve">В точка 8.2.8.3.2.8 </w:t>
      </w:r>
      <w:bookmarkEnd w:id="1"/>
      <w:bookmarkEnd w:id="2"/>
      <w:r w:rsidRPr="00AC39E9">
        <w:rPr>
          <w:rFonts w:ascii="Times New Roman" w:eastAsia="Times New Roman" w:hAnsi="Times New Roman" w:cs="Times New Roman"/>
          <w:i/>
          <w:kern w:val="0"/>
          <w:sz w:val="24"/>
          <w:szCs w:val="20"/>
        </w:rPr>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45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Подпомагането се предоставя под формата на годишни плащания на хектар</w:t>
            </w:r>
          </w:p>
          <w:p w:rsidR="00AC39E9" w:rsidRPr="00AC39E9" w:rsidRDefault="00AC39E9" w:rsidP="00386C69">
            <w:pPr>
              <w:widowControl/>
              <w:numPr>
                <w:ilvl w:val="0"/>
                <w:numId w:val="46"/>
              </w:numPr>
              <w:suppressAutoHyphens w:val="0"/>
              <w:autoSpaceDN/>
              <w:spacing w:before="24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За засяване и отглеждане на есенни зърнено-житни култури в местообитания на зим</w:t>
            </w:r>
            <w:r w:rsidRPr="00AC39E9">
              <w:rPr>
                <w:rFonts w:ascii="Times New Roman" w:eastAsia="Times New Roman" w:hAnsi="Times New Roman" w:cs="Times New Roman"/>
                <w:kern w:val="0"/>
                <w:sz w:val="24"/>
                <w:szCs w:val="24"/>
              </w:rPr>
              <w:t>у</w:t>
            </w:r>
            <w:r w:rsidRPr="00AC39E9">
              <w:rPr>
                <w:rFonts w:ascii="Times New Roman" w:eastAsia="Times New Roman" w:hAnsi="Times New Roman" w:cs="Times New Roman"/>
                <w:kern w:val="0"/>
                <w:sz w:val="24"/>
                <w:szCs w:val="24"/>
              </w:rPr>
              <w:t>ващи видове гъски на минимум 50 % от заявените по дейността площи – 81,59 евро/ха;</w:t>
            </w:r>
          </w:p>
          <w:p w:rsidR="00AC39E9" w:rsidRPr="00AC39E9" w:rsidRDefault="00AC39E9" w:rsidP="00386C69">
            <w:pPr>
              <w:widowControl/>
              <w:numPr>
                <w:ilvl w:val="0"/>
                <w:numId w:val="46"/>
              </w:numPr>
              <w:suppressAutoHyphens w:val="0"/>
              <w:autoSpaceDN/>
              <w:spacing w:before="120" w:after="0" w:line="240" w:lineRule="auto"/>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За превръщане на обработваемите земи, които са местообитания на Царски орел или Египетски лешояд, в постоянно затревени площи- 278 евро/ха. За заявените за подп</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 xml:space="preserve">магане площи по дейността след 01.01.2018 г. – 247 евро/ха </w:t>
            </w:r>
          </w:p>
          <w:p w:rsidR="00AC39E9" w:rsidRPr="00AC39E9" w:rsidRDefault="00AC39E9" w:rsidP="00386C69">
            <w:pPr>
              <w:widowControl/>
              <w:numPr>
                <w:ilvl w:val="0"/>
                <w:numId w:val="46"/>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За засяване и отглеждане на есенни зърнено-житни култури в местообитания на черв</w:t>
            </w:r>
            <w:r w:rsidRPr="00AC39E9">
              <w:rPr>
                <w:rFonts w:ascii="Times New Roman" w:eastAsia="Times New Roman" w:hAnsi="Times New Roman" w:cs="Times New Roman"/>
                <w:kern w:val="0"/>
                <w:sz w:val="24"/>
                <w:szCs w:val="24"/>
              </w:rPr>
              <w:t>е</w:t>
            </w:r>
            <w:r w:rsidRPr="00AC39E9">
              <w:rPr>
                <w:rFonts w:ascii="Times New Roman" w:eastAsia="Times New Roman" w:hAnsi="Times New Roman" w:cs="Times New Roman"/>
                <w:kern w:val="0"/>
                <w:sz w:val="24"/>
                <w:szCs w:val="24"/>
              </w:rPr>
              <w:t>ногушата гъска – 103,68 евро/ха;</w:t>
            </w:r>
          </w:p>
          <w:p w:rsidR="00AC39E9" w:rsidRPr="00AC39E9" w:rsidRDefault="00AC39E9" w:rsidP="00386C69">
            <w:pPr>
              <w:widowControl/>
              <w:numPr>
                <w:ilvl w:val="0"/>
                <w:numId w:val="46"/>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За прибиране на реколтата след 31 юли в площи с гнезда на ливадния блатар (Circus pygargus) - 109,93 евро/ха.</w:t>
            </w:r>
          </w:p>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0"/>
              </w:rPr>
            </w:pPr>
          </w:p>
        </w:tc>
      </w:tr>
    </w:tbl>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lang w:val="fr-BE"/>
        </w:rPr>
      </w:pPr>
      <w:r w:rsidRPr="00AC39E9">
        <w:rPr>
          <w:rFonts w:ascii="Times New Roman" w:eastAsia="Times New Roman" w:hAnsi="Times New Roman" w:cs="Times New Roman"/>
          <w:i/>
          <w:color w:val="000000"/>
          <w:kern w:val="0"/>
          <w:sz w:val="24"/>
          <w:szCs w:val="20"/>
          <w:lang w:val="fr-BE"/>
        </w:rPr>
        <w:t xml:space="preserve">В </w:t>
      </w:r>
      <w:r w:rsidRPr="00AC39E9">
        <w:rPr>
          <w:rFonts w:ascii="Times New Roman" w:eastAsia="Times New Roman" w:hAnsi="Times New Roman" w:cs="Times New Roman"/>
          <w:color w:val="000000"/>
          <w:kern w:val="0"/>
          <w:sz w:val="24"/>
          <w:szCs w:val="20"/>
        </w:rPr>
        <w:t>точка</w:t>
      </w:r>
      <w:r w:rsidRPr="00AC39E9">
        <w:rPr>
          <w:rFonts w:ascii="Times New Roman" w:eastAsia="Times New Roman" w:hAnsi="Times New Roman" w:cs="Times New Roman"/>
          <w:i/>
          <w:color w:val="000000"/>
          <w:kern w:val="0"/>
          <w:sz w:val="24"/>
          <w:szCs w:val="20"/>
        </w:rPr>
        <w:t xml:space="preserve"> </w:t>
      </w:r>
      <w:r w:rsidRPr="00AC39E9">
        <w:rPr>
          <w:rFonts w:ascii="Times New Roman" w:eastAsia="Times New Roman" w:hAnsi="Times New Roman" w:cs="Times New Roman"/>
          <w:i/>
          <w:color w:val="000000"/>
          <w:kern w:val="0"/>
          <w:sz w:val="24"/>
          <w:szCs w:val="20"/>
          <w:lang w:val="fr-BE"/>
        </w:rPr>
        <w:t>8.2.8.3.3.8 (Приложими)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45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Подпомагането се предоставя под формата на годишни плащания на хектар земеделска площ:</w:t>
            </w:r>
          </w:p>
          <w:p w:rsidR="00AC39E9" w:rsidRPr="00AC39E9" w:rsidRDefault="00AC39E9" w:rsidP="00386C69">
            <w:pPr>
              <w:widowControl/>
              <w:numPr>
                <w:ilvl w:val="0"/>
                <w:numId w:val="56"/>
              </w:numPr>
              <w:suppressAutoHyphens w:val="0"/>
              <w:autoSpaceDN/>
              <w:spacing w:before="120" w:after="240" w:line="240" w:lineRule="auto"/>
              <w:contextualSpacing/>
              <w:jc w:val="both"/>
              <w:textAlignment w:val="auto"/>
              <w:rPr>
                <w:rFonts w:ascii="Times New Roman" w:eastAsia="Times New Roman" w:hAnsi="Times New Roman" w:cs="Times New Roman"/>
                <w:kern w:val="0"/>
                <w:sz w:val="24"/>
                <w:szCs w:val="24"/>
                <w:lang w:val="en-US"/>
              </w:rPr>
            </w:pPr>
            <w:r w:rsidRPr="00AC39E9">
              <w:rPr>
                <w:rFonts w:ascii="Times New Roman" w:eastAsia="Times New Roman" w:hAnsi="Times New Roman" w:cs="Times New Roman"/>
                <w:kern w:val="0"/>
                <w:sz w:val="24"/>
                <w:szCs w:val="24"/>
              </w:rPr>
              <w:t>За превръщане на обработваеми земеделски земи в постоянно затревени площи – 315 евро/ха. За заявените за подпомагане площи по дейността след 01.01.2018 г. – 266 е</w:t>
            </w:r>
            <w:r w:rsidRPr="00AC39E9">
              <w:rPr>
                <w:rFonts w:ascii="Times New Roman" w:eastAsia="Times New Roman" w:hAnsi="Times New Roman" w:cs="Times New Roman"/>
                <w:kern w:val="0"/>
                <w:sz w:val="24"/>
                <w:szCs w:val="24"/>
              </w:rPr>
              <w:t>в</w:t>
            </w:r>
            <w:r w:rsidRPr="00AC39E9">
              <w:rPr>
                <w:rFonts w:ascii="Times New Roman" w:eastAsia="Times New Roman" w:hAnsi="Times New Roman" w:cs="Times New Roman"/>
                <w:kern w:val="0"/>
                <w:sz w:val="24"/>
                <w:szCs w:val="24"/>
              </w:rPr>
              <w:t xml:space="preserve">ро/ха </w:t>
            </w:r>
          </w:p>
          <w:p w:rsidR="00AC39E9" w:rsidRPr="00AC39E9" w:rsidRDefault="00AC39E9" w:rsidP="00386C69">
            <w:pPr>
              <w:widowControl/>
              <w:numPr>
                <w:ilvl w:val="0"/>
                <w:numId w:val="47"/>
              </w:numPr>
              <w:suppressAutoHyphens w:val="0"/>
              <w:autoSpaceDN/>
              <w:spacing w:before="24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За противоерозионни мероприятия в лозя и трайни насаждения:</w:t>
            </w:r>
          </w:p>
          <w:p w:rsidR="00AC39E9" w:rsidRPr="00AC39E9" w:rsidRDefault="00AC39E9" w:rsidP="00AC39E9">
            <w:pPr>
              <w:widowControl/>
              <w:suppressAutoHyphens w:val="0"/>
              <w:autoSpaceDN/>
              <w:spacing w:before="240" w:after="240" w:line="240" w:lineRule="auto"/>
              <w:ind w:left="720"/>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затревяване на междуредията на лозята и трайните насаждения 156 евро/ха;</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 изграждане и поддържане на  оттокоотвеждащи бразди напречно на склона – 142  евро/ха;</w:t>
            </w:r>
          </w:p>
          <w:p w:rsidR="00AC39E9" w:rsidRPr="00AC39E9" w:rsidRDefault="00AC39E9" w:rsidP="00386C69">
            <w:pPr>
              <w:widowControl/>
              <w:numPr>
                <w:ilvl w:val="0"/>
                <w:numId w:val="48"/>
              </w:numPr>
              <w:suppressAutoHyphens w:val="0"/>
              <w:autoSpaceDN/>
              <w:spacing w:before="24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Противоерозионни мероприятие в обработваеми земи:</w:t>
            </w:r>
          </w:p>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0"/>
              </w:rPr>
            </w:pPr>
            <w:r w:rsidRPr="00AC39E9">
              <w:rPr>
                <w:rFonts w:ascii="Times New Roman" w:eastAsia="Times New Roman" w:hAnsi="Times New Roman" w:cs="Times New Roman"/>
                <w:kern w:val="0"/>
                <w:sz w:val="24"/>
                <w:szCs w:val="24"/>
              </w:rPr>
              <w:t>- за създаване и поддържане на буферни ивици- 40 евро/ха. За заявените за подпомагане пл</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 xml:space="preserve">щи по дейността след 01.01.2018 г. – 36 евро/ха </w:t>
            </w:r>
          </w:p>
          <w:p w:rsidR="00AC39E9" w:rsidRPr="00AC39E9" w:rsidRDefault="00AC39E9" w:rsidP="00AC39E9">
            <w:pPr>
              <w:widowControl/>
              <w:suppressAutoHyphens w:val="0"/>
              <w:autoSpaceDN/>
              <w:spacing w:before="240" w:after="240" w:line="240" w:lineRule="auto"/>
              <w:ind w:left="720"/>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за поясно редуване на културите – 38,2 евро/ха.</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lang w:val="fr-BE"/>
        </w:rPr>
      </w:pPr>
      <w:r w:rsidRPr="00AC39E9">
        <w:rPr>
          <w:rFonts w:ascii="Times New Roman" w:eastAsia="Times New Roman" w:hAnsi="Times New Roman" w:cs="Times New Roman"/>
          <w:i/>
          <w:color w:val="000000"/>
          <w:kern w:val="0"/>
          <w:sz w:val="24"/>
          <w:szCs w:val="20"/>
          <w:lang w:val="fr-BE"/>
        </w:rPr>
        <w:t xml:space="preserve"> В </w:t>
      </w:r>
      <w:r w:rsidRPr="00AC39E9">
        <w:rPr>
          <w:rFonts w:ascii="Times New Roman" w:eastAsia="Times New Roman" w:hAnsi="Times New Roman" w:cs="Times New Roman"/>
          <w:color w:val="000000"/>
          <w:kern w:val="0"/>
          <w:sz w:val="24"/>
          <w:szCs w:val="20"/>
        </w:rPr>
        <w:t>точка</w:t>
      </w:r>
      <w:r w:rsidRPr="00AC39E9">
        <w:rPr>
          <w:rFonts w:ascii="Times New Roman" w:eastAsia="Times New Roman" w:hAnsi="Times New Roman" w:cs="Times New Roman"/>
          <w:i/>
          <w:color w:val="000000"/>
          <w:kern w:val="0"/>
          <w:sz w:val="24"/>
          <w:szCs w:val="20"/>
        </w:rPr>
        <w:t xml:space="preserve"> </w:t>
      </w:r>
      <w:r w:rsidRPr="00AC39E9">
        <w:rPr>
          <w:rFonts w:ascii="Times New Roman" w:eastAsia="Times New Roman" w:hAnsi="Times New Roman" w:cs="Times New Roman"/>
          <w:i/>
          <w:color w:val="000000"/>
          <w:kern w:val="0"/>
          <w:sz w:val="24"/>
          <w:szCs w:val="20"/>
          <w:lang w:val="fr-BE"/>
        </w:rPr>
        <w:t>8.2.8.3.6.8 (Приложими)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45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xml:space="preserve">Подпомагането се предоставя под формата на годишни плащания на хектар земеделска площ. </w:t>
            </w:r>
            <w:r w:rsidRPr="00AC39E9">
              <w:rPr>
                <w:rFonts w:ascii="Times New Roman" w:eastAsia="Times New Roman" w:hAnsi="Times New Roman" w:cs="Times New Roman"/>
                <w:kern w:val="0"/>
                <w:sz w:val="24"/>
                <w:szCs w:val="24"/>
              </w:rPr>
              <w:lastRenderedPageBreak/>
              <w:t>Подпомагането се предоставя до 50 ха от застрашен от генетична ерозия сорт на земеделски стопанин.</w:t>
            </w:r>
          </w:p>
          <w:p w:rsidR="00AC39E9" w:rsidRPr="00AC39E9" w:rsidRDefault="00AC39E9" w:rsidP="00386C69">
            <w:pPr>
              <w:widowControl/>
              <w:numPr>
                <w:ilvl w:val="0"/>
                <w:numId w:val="49"/>
              </w:numPr>
              <w:suppressAutoHyphens w:val="0"/>
              <w:autoSpaceDN/>
              <w:spacing w:before="240" w:after="0" w:line="240" w:lineRule="auto"/>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Полски култури –223,95 евро/ха</w:t>
            </w:r>
            <w:r w:rsidRPr="00AC39E9">
              <w:rPr>
                <w:rFonts w:ascii="Times New Roman" w:eastAsia="Times New Roman" w:hAnsi="Times New Roman" w:cs="Times New Roman"/>
                <w:kern w:val="0"/>
                <w:sz w:val="24"/>
                <w:szCs w:val="20"/>
              </w:rPr>
              <w:t xml:space="preserve"> </w:t>
            </w:r>
            <w:r w:rsidRPr="00AC39E9">
              <w:rPr>
                <w:rFonts w:ascii="Times New Roman" w:eastAsia="Times New Roman" w:hAnsi="Times New Roman" w:cs="Times New Roman"/>
                <w:kern w:val="0"/>
                <w:sz w:val="24"/>
                <w:szCs w:val="24"/>
              </w:rPr>
              <w:t xml:space="preserve">За заявените за подпомагане площи след 01.01.2018 г. – </w:t>
            </w:r>
            <w:r w:rsidRPr="00AC39E9">
              <w:rPr>
                <w:rFonts w:ascii="Times New Roman" w:eastAsia="Times New Roman" w:hAnsi="Times New Roman" w:cs="Times New Roman"/>
                <w:kern w:val="0"/>
                <w:sz w:val="24"/>
                <w:szCs w:val="24"/>
                <w:lang w:val="en-US"/>
              </w:rPr>
              <w:t>221,39</w:t>
            </w:r>
            <w:r w:rsidRPr="00AC39E9">
              <w:rPr>
                <w:rFonts w:ascii="Times New Roman" w:eastAsia="Times New Roman" w:hAnsi="Times New Roman" w:cs="Times New Roman"/>
                <w:kern w:val="0"/>
                <w:sz w:val="24"/>
                <w:szCs w:val="24"/>
              </w:rPr>
              <w:t xml:space="preserve"> евро/ха;</w:t>
            </w:r>
          </w:p>
          <w:p w:rsidR="00AC39E9" w:rsidRPr="00AC39E9" w:rsidRDefault="00AC39E9" w:rsidP="00386C69">
            <w:pPr>
              <w:widowControl/>
              <w:numPr>
                <w:ilvl w:val="0"/>
                <w:numId w:val="49"/>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Трайни насаждения –787,39 евро/ха;</w:t>
            </w:r>
          </w:p>
          <w:p w:rsidR="00AC39E9" w:rsidRPr="00AC39E9" w:rsidRDefault="00AC39E9" w:rsidP="00386C69">
            <w:pPr>
              <w:widowControl/>
              <w:numPr>
                <w:ilvl w:val="0"/>
                <w:numId w:val="49"/>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Зеленчуци - 429,48 евро/ха;</w:t>
            </w:r>
          </w:p>
          <w:p w:rsidR="00AC39E9" w:rsidRPr="00AC39E9" w:rsidRDefault="00AC39E9" w:rsidP="00386C69">
            <w:pPr>
              <w:widowControl/>
              <w:numPr>
                <w:ilvl w:val="0"/>
                <w:numId w:val="49"/>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Ароматно-медицински култури - 536,86 евро/ха.</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AC39E9" w:rsidRPr="00AC39E9" w:rsidRDefault="00AC39E9" w:rsidP="00386C69">
      <w:pPr>
        <w:widowControl/>
        <w:numPr>
          <w:ilvl w:val="0"/>
          <w:numId w:val="57"/>
        </w:numPr>
        <w:suppressAutoHyphens w:val="0"/>
        <w:autoSpaceDN/>
        <w:spacing w:before="120" w:after="100" w:line="240" w:lineRule="auto"/>
        <w:contextualSpacing/>
        <w:jc w:val="both"/>
        <w:textAlignment w:val="auto"/>
        <w:rPr>
          <w:rFonts w:ascii="Times New Roman" w:eastAsia="Times New Roman" w:hAnsi="Times New Roman" w:cs="Times New Roman"/>
          <w:kern w:val="0"/>
          <w:sz w:val="24"/>
          <w:szCs w:val="20"/>
        </w:rPr>
      </w:pPr>
      <w:r w:rsidRPr="00AC39E9">
        <w:rPr>
          <w:rFonts w:ascii="Times New Roman" w:eastAsia="Times New Roman" w:hAnsi="Times New Roman" w:cs="Times New Roman"/>
          <w:kern w:val="0"/>
          <w:sz w:val="24"/>
          <w:szCs w:val="20"/>
        </w:rPr>
        <w:lastRenderedPageBreak/>
        <w:t xml:space="preserve"> </w:t>
      </w:r>
      <w:r w:rsidRPr="00AC39E9">
        <w:rPr>
          <w:rFonts w:ascii="Times New Roman" w:eastAsia="Times New Roman" w:hAnsi="Times New Roman" w:cs="Times New Roman"/>
          <w:i/>
          <w:kern w:val="0"/>
          <w:sz w:val="24"/>
          <w:szCs w:val="20"/>
        </w:rPr>
        <w:t xml:space="preserve">В частта 8.2.8.5 </w:t>
      </w:r>
      <w:r w:rsidRPr="00AC39E9">
        <w:rPr>
          <w:rFonts w:ascii="Times New Roman" w:eastAsia="Times New Roman" w:hAnsi="Times New Roman" w:cs="Times New Roman"/>
          <w:i/>
          <w:kern w:val="0"/>
          <w:sz w:val="24"/>
          <w:szCs w:val="20"/>
          <w:lang w:val="en-GB"/>
        </w:rPr>
        <w:t>Специфична информация за мярката</w:t>
      </w:r>
      <w:r w:rsidRPr="00AC39E9">
        <w:rPr>
          <w:rFonts w:ascii="Times New Roman" w:eastAsia="Times New Roman" w:hAnsi="Times New Roman" w:cs="Times New Roman"/>
          <w:i/>
          <w:kern w:val="0"/>
          <w:sz w:val="24"/>
          <w:szCs w:val="20"/>
        </w:rPr>
        <w:t xml:space="preserve"> към методологията за о</w:t>
      </w:r>
      <w:r w:rsidRPr="00AC39E9">
        <w:rPr>
          <w:rFonts w:ascii="Times New Roman" w:eastAsia="Times New Roman" w:hAnsi="Times New Roman" w:cs="Times New Roman"/>
          <w:i/>
          <w:kern w:val="0"/>
          <w:sz w:val="24"/>
          <w:szCs w:val="20"/>
        </w:rPr>
        <w:t>п</w:t>
      </w:r>
      <w:r w:rsidRPr="00AC39E9">
        <w:rPr>
          <w:rFonts w:ascii="Times New Roman" w:eastAsia="Times New Roman" w:hAnsi="Times New Roman" w:cs="Times New Roman"/>
          <w:i/>
          <w:kern w:val="0"/>
          <w:sz w:val="24"/>
          <w:szCs w:val="20"/>
        </w:rPr>
        <w:t>ределяне на компенсаторните плащания по мярка 10. Плащания за агроекология и климат се добавя</w:t>
      </w:r>
      <w:r w:rsidRPr="00AC39E9">
        <w:rPr>
          <w:rFonts w:ascii="Times New Roman" w:eastAsia="Times New Roman" w:hAnsi="Times New Roman" w:cs="Times New Roman"/>
          <w:kern w:val="0"/>
          <w:sz w:val="24"/>
          <w:szCs w:val="20"/>
        </w:rPr>
        <w:t xml:space="preserve"> :</w:t>
      </w:r>
    </w:p>
    <w:p w:rsidR="00AC39E9" w:rsidRDefault="00AC39E9" w:rsidP="00AC39E9">
      <w:pPr>
        <w:widowControl/>
        <w:suppressAutoHyphens w:val="0"/>
        <w:autoSpaceDN/>
        <w:spacing w:before="120" w:after="100" w:line="240" w:lineRule="auto"/>
        <w:contextualSpacing/>
        <w:jc w:val="both"/>
        <w:textAlignment w:val="auto"/>
        <w:rPr>
          <w:rFonts w:ascii="Times New Roman" w:eastAsia="Times New Roman" w:hAnsi="Times New Roman" w:cs="Times New Roman"/>
          <w:kern w:val="0"/>
          <w:sz w:val="24"/>
          <w:szCs w:val="20"/>
        </w:rPr>
      </w:pPr>
    </w:p>
    <w:p w:rsidR="00AC39E9" w:rsidRPr="00AC39E9" w:rsidRDefault="00AC39E9" w:rsidP="00AC39E9">
      <w:pPr>
        <w:widowControl/>
        <w:suppressAutoHyphens w:val="0"/>
        <w:autoSpaceDN/>
        <w:spacing w:before="120" w:after="100" w:line="240" w:lineRule="auto"/>
        <w:contextualSpacing/>
        <w:jc w:val="both"/>
        <w:textAlignment w:val="auto"/>
        <w:rPr>
          <w:rFonts w:ascii="Times New Roman" w:eastAsia="Times New Roman" w:hAnsi="Times New Roman" w:cs="Times New Roman"/>
          <w:kern w:val="0"/>
          <w:sz w:val="24"/>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500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b/>
                <w:bCs/>
                <w:kern w:val="0"/>
                <w:sz w:val="24"/>
                <w:szCs w:val="24"/>
              </w:rPr>
              <w:t xml:space="preserve">Методология за определяне на компенсаторните плащания по Мярка 10. Плащания за агроекология и климат </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За изчисление на конкретните нива на подпомагане по Мярка 10“Агроекология и климат” в България е използван модел, оценяващ пропуснатите ползи и направените допълнителни ра</w:t>
            </w:r>
            <w:r w:rsidRPr="00AC39E9">
              <w:rPr>
                <w:rFonts w:ascii="Times New Roman" w:eastAsia="Times New Roman" w:hAnsi="Times New Roman" w:cs="Times New Roman"/>
                <w:kern w:val="0"/>
                <w:sz w:val="24"/>
                <w:szCs w:val="24"/>
              </w:rPr>
              <w:t>з</w:t>
            </w:r>
            <w:r w:rsidRPr="00AC39E9">
              <w:rPr>
                <w:rFonts w:ascii="Times New Roman" w:eastAsia="Times New Roman" w:hAnsi="Times New Roman" w:cs="Times New Roman"/>
                <w:kern w:val="0"/>
                <w:sz w:val="24"/>
                <w:szCs w:val="24"/>
              </w:rPr>
              <w:t>ходи за всяко отделно направление на мярката и конкретните, допустими и изискуеми дейно</w:t>
            </w:r>
            <w:r w:rsidRPr="00AC39E9">
              <w:rPr>
                <w:rFonts w:ascii="Times New Roman" w:eastAsia="Times New Roman" w:hAnsi="Times New Roman" w:cs="Times New Roman"/>
                <w:kern w:val="0"/>
                <w:sz w:val="24"/>
                <w:szCs w:val="24"/>
              </w:rPr>
              <w:t>с</w:t>
            </w:r>
            <w:r w:rsidRPr="00AC39E9">
              <w:rPr>
                <w:rFonts w:ascii="Times New Roman" w:eastAsia="Times New Roman" w:hAnsi="Times New Roman" w:cs="Times New Roman"/>
                <w:kern w:val="0"/>
                <w:sz w:val="24"/>
                <w:szCs w:val="24"/>
              </w:rPr>
              <w:t>ти. Методологията е разработена от екип в състав: Доц.д-р Божидар Иванов,  Доц.д-р Крас</w:t>
            </w:r>
            <w:r w:rsidRPr="00AC39E9">
              <w:rPr>
                <w:rFonts w:ascii="Times New Roman" w:eastAsia="Times New Roman" w:hAnsi="Times New Roman" w:cs="Times New Roman"/>
                <w:kern w:val="0"/>
                <w:sz w:val="24"/>
                <w:szCs w:val="24"/>
              </w:rPr>
              <w:t>и</w:t>
            </w:r>
            <w:r w:rsidRPr="00AC39E9">
              <w:rPr>
                <w:rFonts w:ascii="Times New Roman" w:eastAsia="Times New Roman" w:hAnsi="Times New Roman" w:cs="Times New Roman"/>
                <w:kern w:val="0"/>
                <w:sz w:val="24"/>
                <w:szCs w:val="24"/>
              </w:rPr>
              <w:t>мира Кънева, Ас. Васил Стойчев, ас. Емилия Сколова (Институт по аграрна икономика) и Проф. д-р Тотка Трифонова (Институтът по почвознание, агротехнологии и защита на раст</w:t>
            </w:r>
            <w:r w:rsidRPr="00AC39E9">
              <w:rPr>
                <w:rFonts w:ascii="Times New Roman" w:eastAsia="Times New Roman" w:hAnsi="Times New Roman" w:cs="Times New Roman"/>
                <w:kern w:val="0"/>
                <w:sz w:val="24"/>
                <w:szCs w:val="24"/>
              </w:rPr>
              <w:t>е</w:t>
            </w:r>
            <w:r w:rsidRPr="00AC39E9">
              <w:rPr>
                <w:rFonts w:ascii="Times New Roman" w:eastAsia="Times New Roman" w:hAnsi="Times New Roman" w:cs="Times New Roman"/>
                <w:kern w:val="0"/>
                <w:sz w:val="24"/>
                <w:szCs w:val="24"/>
              </w:rPr>
              <w:t>нията „Никола Пушкаров”).</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При всички направления основната част от методологията е определянето на пропуснатите приходи, направените допълнителни разходи, като при някои направления под внимание се взима и реализираните допълнителни приходи. При изчисляване на компенсаторните плащ</w:t>
            </w:r>
            <w:r w:rsidRPr="00AC39E9">
              <w:rPr>
                <w:rFonts w:ascii="Times New Roman" w:eastAsia="Times New Roman" w:hAnsi="Times New Roman" w:cs="Times New Roman"/>
                <w:kern w:val="0"/>
                <w:sz w:val="24"/>
                <w:szCs w:val="24"/>
              </w:rPr>
              <w:t>а</w:t>
            </w:r>
            <w:r w:rsidRPr="00AC39E9">
              <w:rPr>
                <w:rFonts w:ascii="Times New Roman" w:eastAsia="Times New Roman" w:hAnsi="Times New Roman" w:cs="Times New Roman"/>
                <w:kern w:val="0"/>
                <w:sz w:val="24"/>
                <w:szCs w:val="24"/>
              </w:rPr>
              <w:t>ния са използвани икономически данни от: отдел „Агростатистика” на МЗХГ, аграрни доклади на МЗХГ, НСИ, технологични спецификации, разработени от институти в системата на ССА, експертни оценки, проучване на дистрибуционни и снабдителни канали и представителни стопанства. Периодът за изчисление обхваща три последователни години 2011-2013. При всички направени изчисления са отчетени изискванията за „позеленяването” и свързаните за тях плащания са извадени от агроекологичните плащания, там където това е необходимо. Ра</w:t>
            </w:r>
            <w:r w:rsidRPr="00AC39E9">
              <w:rPr>
                <w:rFonts w:ascii="Times New Roman" w:eastAsia="Times New Roman" w:hAnsi="Times New Roman" w:cs="Times New Roman"/>
                <w:kern w:val="0"/>
                <w:sz w:val="24"/>
                <w:szCs w:val="24"/>
              </w:rPr>
              <w:t>з</w:t>
            </w:r>
            <w:r w:rsidRPr="00AC39E9">
              <w:rPr>
                <w:rFonts w:ascii="Times New Roman" w:eastAsia="Times New Roman" w:hAnsi="Times New Roman" w:cs="Times New Roman"/>
                <w:kern w:val="0"/>
                <w:sz w:val="24"/>
                <w:szCs w:val="24"/>
              </w:rPr>
              <w:t>ходите, свързани с воденето на дневник в стопанството и преминаване на агроекологично обучение не се отчитат при изчисляване на плащанията.</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Във връзка с влязла в сила от 01.01.2018 г. забрана за използване на препарати за растителна защита при прилагане на практики по чл. 43 от Регламент 1307/2013 г. е извършен анализ на необходимостта от преразглеждане на нивата на подпомагане по всички дейности от мярката с оглед на избягване на риск от двойно финансиране. За част от дейностите е предвидено нам</w:t>
            </w:r>
            <w:r w:rsidRPr="00AC39E9">
              <w:rPr>
                <w:rFonts w:ascii="Times New Roman" w:eastAsia="Times New Roman" w:hAnsi="Times New Roman" w:cs="Times New Roman"/>
                <w:kern w:val="0"/>
                <w:sz w:val="24"/>
                <w:szCs w:val="24"/>
              </w:rPr>
              <w:t>а</w:t>
            </w:r>
            <w:r w:rsidRPr="00AC39E9">
              <w:rPr>
                <w:rFonts w:ascii="Times New Roman" w:eastAsia="Times New Roman" w:hAnsi="Times New Roman" w:cs="Times New Roman"/>
                <w:kern w:val="0"/>
                <w:sz w:val="24"/>
                <w:szCs w:val="24"/>
              </w:rPr>
              <w:t>ление на размера на подпомагане с фиксирана средна сума, което е приложимо за площите от съответната операция, заявени за подпомагане след 01.01.2018г.</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0"/>
              </w:rPr>
            </w:pPr>
            <w:r w:rsidRPr="00AC39E9">
              <w:rPr>
                <w:rFonts w:ascii="Times New Roman" w:eastAsia="Times New Roman" w:hAnsi="Times New Roman" w:cs="Times New Roman"/>
                <w:kern w:val="0"/>
                <w:sz w:val="24"/>
                <w:szCs w:val="20"/>
              </w:rPr>
              <w:t>…......</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0"/>
              </w:rPr>
            </w:pPr>
          </w:p>
        </w:tc>
      </w:tr>
    </w:tbl>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lang w:val="fr-BE"/>
        </w:rPr>
      </w:pPr>
      <w:r w:rsidRPr="00AC39E9">
        <w:rPr>
          <w:rFonts w:ascii="Times New Roman" w:eastAsia="Times New Roman" w:hAnsi="Times New Roman" w:cs="Times New Roman"/>
          <w:i/>
          <w:color w:val="000000"/>
          <w:kern w:val="0"/>
          <w:sz w:val="24"/>
          <w:szCs w:val="20"/>
          <w:lang w:val="fr-BE"/>
        </w:rPr>
        <w:lastRenderedPageBreak/>
        <w:t>По отношение на мярка 11 „Биологично земеделие“</w:t>
      </w:r>
    </w:p>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lang w:val="fr-BE"/>
        </w:rPr>
      </w:pPr>
      <w:r w:rsidRPr="00AC39E9">
        <w:rPr>
          <w:rFonts w:ascii="Times New Roman" w:eastAsia="Times New Roman" w:hAnsi="Times New Roman" w:cs="Times New Roman"/>
          <w:i/>
          <w:color w:val="000000"/>
          <w:kern w:val="0"/>
          <w:sz w:val="24"/>
          <w:szCs w:val="20"/>
          <w:lang w:val="fr-BE"/>
        </w:rPr>
        <w:t xml:space="preserve">В </w:t>
      </w:r>
      <w:r w:rsidRPr="00AC39E9">
        <w:rPr>
          <w:rFonts w:ascii="Times New Roman" w:eastAsia="Times New Roman" w:hAnsi="Times New Roman" w:cs="Times New Roman"/>
          <w:color w:val="000000"/>
          <w:kern w:val="0"/>
          <w:sz w:val="24"/>
          <w:szCs w:val="20"/>
        </w:rPr>
        <w:t>точка</w:t>
      </w:r>
      <w:r w:rsidRPr="00AC39E9">
        <w:rPr>
          <w:rFonts w:ascii="Times New Roman" w:eastAsia="Times New Roman" w:hAnsi="Times New Roman" w:cs="Times New Roman"/>
          <w:i/>
          <w:color w:val="000000"/>
          <w:kern w:val="0"/>
          <w:sz w:val="24"/>
          <w:szCs w:val="20"/>
        </w:rPr>
        <w:t xml:space="preserve"> </w:t>
      </w:r>
      <w:r w:rsidRPr="00AC39E9">
        <w:rPr>
          <w:rFonts w:ascii="Times New Roman" w:eastAsia="Times New Roman" w:hAnsi="Times New Roman" w:cs="Times New Roman"/>
          <w:i/>
          <w:color w:val="000000"/>
          <w:kern w:val="0"/>
          <w:sz w:val="24"/>
          <w:szCs w:val="20"/>
          <w:lang w:val="fr-BE"/>
        </w:rPr>
        <w:t>8.2.9.3.1.1 Описание на вида операция</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lang w:val="en-US"/>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500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 тази подмярка ще се подпомагат на територията на цялата страна, земеделски стопани, ч</w:t>
            </w:r>
            <w:r w:rsidRPr="00AC39E9">
              <w:rPr>
                <w:rFonts w:ascii="Times New Roman" w:eastAsia="Times New Roman" w:hAnsi="Times New Roman" w:cs="Times New Roman"/>
                <w:kern w:val="0"/>
                <w:sz w:val="24"/>
                <w:szCs w:val="24"/>
              </w:rPr>
              <w:t>и</w:t>
            </w:r>
            <w:r w:rsidRPr="00AC39E9">
              <w:rPr>
                <w:rFonts w:ascii="Times New Roman" w:eastAsia="Times New Roman" w:hAnsi="Times New Roman" w:cs="Times New Roman"/>
                <w:kern w:val="0"/>
                <w:sz w:val="24"/>
                <w:szCs w:val="24"/>
              </w:rPr>
              <w:t>ито стопанства са в период на преход - преминаване на стопанството от конвенционално към биологично производство (растениевъдство, пчеларство и биологично животновъдс</w:t>
            </w:r>
            <w:r w:rsidRPr="00AC39E9">
              <w:rPr>
                <w:rFonts w:ascii="Times New Roman" w:eastAsia="Times New Roman" w:hAnsi="Times New Roman" w:cs="Times New Roman"/>
                <w:kern w:val="0"/>
                <w:sz w:val="24"/>
                <w:szCs w:val="24"/>
              </w:rPr>
              <w:t>т</w:t>
            </w:r>
            <w:r w:rsidRPr="00AC39E9">
              <w:rPr>
                <w:rFonts w:ascii="Times New Roman" w:eastAsia="Times New Roman" w:hAnsi="Times New Roman" w:cs="Times New Roman"/>
                <w:kern w:val="0"/>
                <w:sz w:val="24"/>
                <w:szCs w:val="24"/>
              </w:rPr>
              <w:t xml:space="preserve">во).Ангажиментите са за период от пет години, като съществува вариант за удължаване на срока с две допълнителни години. </w:t>
            </w:r>
            <w:r w:rsidRPr="00AC39E9">
              <w:rPr>
                <w:rFonts w:ascii="Times New Roman" w:eastAsia="Times New Roman" w:hAnsi="Times New Roman" w:cs="Times New Roman"/>
                <w:i/>
                <w:iCs/>
                <w:kern w:val="0"/>
                <w:sz w:val="24"/>
                <w:szCs w:val="24"/>
              </w:rPr>
              <w:t>Преходният период</w:t>
            </w:r>
            <w:r w:rsidRPr="00AC39E9">
              <w:rPr>
                <w:rFonts w:ascii="Times New Roman" w:eastAsia="Times New Roman" w:hAnsi="Times New Roman" w:cs="Times New Roman"/>
                <w:kern w:val="0"/>
                <w:sz w:val="24"/>
                <w:szCs w:val="24"/>
              </w:rPr>
              <w:t xml:space="preserve"> е задължителен етап за преприминав</w:t>
            </w:r>
            <w:r w:rsidRPr="00AC39E9">
              <w:rPr>
                <w:rFonts w:ascii="Times New Roman" w:eastAsia="Times New Roman" w:hAnsi="Times New Roman" w:cs="Times New Roman"/>
                <w:kern w:val="0"/>
                <w:sz w:val="24"/>
                <w:szCs w:val="24"/>
              </w:rPr>
              <w:t>а</w:t>
            </w:r>
            <w:r w:rsidRPr="00AC39E9">
              <w:rPr>
                <w:rFonts w:ascii="Times New Roman" w:eastAsia="Times New Roman" w:hAnsi="Times New Roman" w:cs="Times New Roman"/>
                <w:kern w:val="0"/>
                <w:sz w:val="24"/>
                <w:szCs w:val="24"/>
              </w:rPr>
              <w:t>не към биологично производство.</w:t>
            </w:r>
            <w:r w:rsidRPr="00AC39E9">
              <w:rPr>
                <w:rFonts w:ascii="Times New Roman" w:eastAsia="Times New Roman" w:hAnsi="Times New Roman" w:cs="Times New Roman"/>
                <w:color w:val="000000"/>
                <w:kern w:val="0"/>
                <w:sz w:val="24"/>
                <w:szCs w:val="20"/>
              </w:rPr>
              <w:t xml:space="preserve"> В България </w:t>
            </w:r>
            <w:r w:rsidRPr="00AC39E9">
              <w:rPr>
                <w:rFonts w:ascii="Times New Roman" w:eastAsia="Times New Roman" w:hAnsi="Times New Roman" w:cs="Times New Roman"/>
                <w:kern w:val="0"/>
                <w:sz w:val="24"/>
                <w:szCs w:val="24"/>
              </w:rPr>
              <w:t>той е регламентиран  </w:t>
            </w:r>
            <w:r w:rsidRPr="00AC39E9">
              <w:rPr>
                <w:rFonts w:ascii="Times New Roman" w:eastAsia="Times New Roman" w:hAnsi="Times New Roman" w:cs="Times New Roman"/>
                <w:color w:val="000000"/>
                <w:kern w:val="0"/>
                <w:sz w:val="24"/>
                <w:szCs w:val="20"/>
              </w:rPr>
              <w:t xml:space="preserve">в </w:t>
            </w:r>
            <w:r w:rsidRPr="00AC39E9">
              <w:rPr>
                <w:rFonts w:ascii="Times New Roman" w:eastAsia="Times New Roman" w:hAnsi="Times New Roman" w:cs="Times New Roman"/>
                <w:kern w:val="0"/>
                <w:sz w:val="24"/>
                <w:szCs w:val="20"/>
              </w:rPr>
              <w:t>Наредба №</w:t>
            </w:r>
            <w:r w:rsidRPr="00AC39E9">
              <w:rPr>
                <w:rFonts w:ascii="Times New Roman" w:eastAsia="Times New Roman" w:hAnsi="Times New Roman" w:cs="Times New Roman"/>
                <w:kern w:val="0"/>
                <w:sz w:val="24"/>
                <w:szCs w:val="24"/>
              </w:rPr>
              <w:t>1</w:t>
            </w:r>
            <w:r w:rsidRPr="00AC39E9">
              <w:rPr>
                <w:rFonts w:ascii="Times New Roman" w:eastAsia="Times New Roman" w:hAnsi="Times New Roman" w:cs="Times New Roman"/>
                <w:kern w:val="0"/>
                <w:sz w:val="24"/>
                <w:szCs w:val="20"/>
              </w:rPr>
              <w:t xml:space="preserve"> от </w:t>
            </w:r>
            <w:r w:rsidRPr="00AC39E9">
              <w:rPr>
                <w:rFonts w:ascii="Times New Roman" w:eastAsia="Times New Roman" w:hAnsi="Times New Roman" w:cs="Times New Roman"/>
                <w:kern w:val="0"/>
                <w:sz w:val="24"/>
                <w:szCs w:val="24"/>
              </w:rPr>
              <w:t>7 февр</w:t>
            </w:r>
            <w:r w:rsidRPr="00AC39E9">
              <w:rPr>
                <w:rFonts w:ascii="Times New Roman" w:eastAsia="Times New Roman" w:hAnsi="Times New Roman" w:cs="Times New Roman"/>
                <w:kern w:val="0"/>
                <w:sz w:val="24"/>
                <w:szCs w:val="24"/>
              </w:rPr>
              <w:t>у</w:t>
            </w:r>
            <w:r w:rsidRPr="00AC39E9">
              <w:rPr>
                <w:rFonts w:ascii="Times New Roman" w:eastAsia="Times New Roman" w:hAnsi="Times New Roman" w:cs="Times New Roman"/>
                <w:kern w:val="0"/>
                <w:sz w:val="24"/>
                <w:szCs w:val="24"/>
              </w:rPr>
              <w:t>ари 2013</w:t>
            </w:r>
            <w:r w:rsidRPr="00AC39E9">
              <w:rPr>
                <w:rFonts w:ascii="Times New Roman" w:eastAsia="Times New Roman" w:hAnsi="Times New Roman" w:cs="Times New Roman"/>
                <w:kern w:val="0"/>
                <w:sz w:val="24"/>
                <w:szCs w:val="20"/>
              </w:rPr>
              <w:t xml:space="preserve"> г. за прилагане на правилата на биологичното производство</w:t>
            </w:r>
            <w:r w:rsidRPr="00AC39E9">
              <w:rPr>
                <w:rFonts w:ascii="Times New Roman" w:eastAsia="Times New Roman" w:hAnsi="Times New Roman" w:cs="Times New Roman"/>
                <w:kern w:val="0"/>
                <w:sz w:val="24"/>
                <w:szCs w:val="24"/>
              </w:rPr>
              <w:t xml:space="preserve"> на растения, животни и аквакултури, растителни, животински продукти, продукти от аквакултури и храни, тяхното етикетиране и контрола</w:t>
            </w:r>
            <w:r w:rsidRPr="00AC39E9">
              <w:rPr>
                <w:rFonts w:ascii="Times New Roman" w:eastAsia="Times New Roman" w:hAnsi="Times New Roman" w:cs="Times New Roman"/>
                <w:kern w:val="0"/>
                <w:sz w:val="24"/>
                <w:szCs w:val="20"/>
              </w:rPr>
              <w:t xml:space="preserve"> върху </w:t>
            </w:r>
            <w:r w:rsidRPr="00AC39E9">
              <w:rPr>
                <w:rFonts w:ascii="Times New Roman" w:eastAsia="Times New Roman" w:hAnsi="Times New Roman" w:cs="Times New Roman"/>
                <w:kern w:val="0"/>
                <w:sz w:val="24"/>
                <w:szCs w:val="24"/>
              </w:rPr>
              <w:t>производството и етикетирането и е  с продължителност 2 г</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дини за едногодишните култури и 3 години – за</w:t>
            </w:r>
            <w:r w:rsidRPr="00AC39E9">
              <w:rPr>
                <w:rFonts w:ascii="Times New Roman" w:eastAsia="Times New Roman" w:hAnsi="Times New Roman" w:cs="Times New Roman"/>
                <w:kern w:val="0"/>
                <w:sz w:val="24"/>
                <w:szCs w:val="20"/>
              </w:rPr>
              <w:t xml:space="preserve"> </w:t>
            </w:r>
            <w:r w:rsidRPr="00AC39E9">
              <w:rPr>
                <w:rFonts w:ascii="Times New Roman" w:eastAsia="Times New Roman" w:hAnsi="Times New Roman" w:cs="Times New Roman"/>
                <w:kern w:val="0"/>
                <w:sz w:val="24"/>
                <w:szCs w:val="24"/>
              </w:rPr>
              <w:t>трайните насаждения. През това време зем</w:t>
            </w:r>
            <w:r w:rsidRPr="00AC39E9">
              <w:rPr>
                <w:rFonts w:ascii="Times New Roman" w:eastAsia="Times New Roman" w:hAnsi="Times New Roman" w:cs="Times New Roman"/>
                <w:kern w:val="0"/>
                <w:sz w:val="24"/>
                <w:szCs w:val="24"/>
              </w:rPr>
              <w:t>е</w:t>
            </w:r>
            <w:r w:rsidRPr="00AC39E9">
              <w:rPr>
                <w:rFonts w:ascii="Times New Roman" w:eastAsia="Times New Roman" w:hAnsi="Times New Roman" w:cs="Times New Roman"/>
                <w:kern w:val="0"/>
                <w:sz w:val="24"/>
                <w:szCs w:val="24"/>
              </w:rPr>
              <w:t>делският стопанин прилага всички изисквания за биологично производство, но не може да п</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 xml:space="preserve">лучи сертификат за биологична продукция. Началото на преходния период се регистрира и контролира от Контролиращите лица. </w:t>
            </w:r>
          </w:p>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0"/>
              </w:rPr>
            </w:pPr>
            <w:r w:rsidRPr="00AC39E9">
              <w:rPr>
                <w:rFonts w:ascii="Times New Roman" w:eastAsia="Times New Roman" w:hAnsi="Times New Roman" w:cs="Times New Roman"/>
                <w:kern w:val="0"/>
                <w:sz w:val="24"/>
                <w:szCs w:val="20"/>
              </w:rPr>
              <w:t xml:space="preserve">Наредба № 1 от 2013 г. е отменена с Наредба </w:t>
            </w:r>
            <w:r w:rsidRPr="00AC39E9">
              <w:rPr>
                <w:rFonts w:ascii="Times New Roman" w:eastAsia="Times New Roman" w:hAnsi="Times New Roman" w:cs="Times New Roman"/>
                <w:color w:val="000000"/>
                <w:kern w:val="0"/>
                <w:sz w:val="24"/>
                <w:szCs w:val="20"/>
                <w:lang w:val="en"/>
              </w:rPr>
              <w:t>№</w:t>
            </w:r>
            <w:r w:rsidRPr="00AC39E9">
              <w:rPr>
                <w:rFonts w:ascii="Times New Roman" w:eastAsia="Times New Roman" w:hAnsi="Times New Roman" w:cs="Times New Roman"/>
                <w:color w:val="000000"/>
                <w:kern w:val="0"/>
                <w:sz w:val="24"/>
                <w:szCs w:val="20"/>
              </w:rPr>
              <w:t xml:space="preserve"> 5</w:t>
            </w:r>
            <w:r w:rsidRPr="00AC39E9">
              <w:rPr>
                <w:rFonts w:ascii="Times New Roman" w:eastAsia="Times New Roman" w:hAnsi="Times New Roman" w:cs="Times New Roman"/>
                <w:color w:val="000000"/>
                <w:kern w:val="0"/>
                <w:sz w:val="24"/>
                <w:szCs w:val="20"/>
                <w:lang w:val="en"/>
              </w:rPr>
              <w:t xml:space="preserve"> от 3 септември 2018 г. за прилагане на правилата на</w:t>
            </w:r>
            <w:r w:rsidRPr="00AC39E9">
              <w:rPr>
                <w:rFonts w:ascii="Times New Roman" w:eastAsia="Times New Roman" w:hAnsi="Times New Roman" w:cs="Times New Roman"/>
                <w:color w:val="000000"/>
                <w:kern w:val="0"/>
                <w:sz w:val="24"/>
                <w:szCs w:val="20"/>
              </w:rPr>
              <w:t xml:space="preserve"> биологично</w:t>
            </w:r>
            <w:r w:rsidRPr="00AC39E9">
              <w:rPr>
                <w:rFonts w:ascii="Times New Roman" w:eastAsia="Times New Roman" w:hAnsi="Times New Roman" w:cs="Times New Roman"/>
                <w:color w:val="000000"/>
                <w:kern w:val="0"/>
                <w:sz w:val="24"/>
                <w:szCs w:val="20"/>
                <w:lang w:val="en"/>
              </w:rPr>
              <w:t xml:space="preserve"> производство, етикетиране и контрол, и за издаване на разрешение за контролна дейност за спазване на правилата на биологичното производство, както и за последващ официален надзор върху контролиращите лица</w:t>
            </w:r>
            <w:r w:rsidRPr="00AC39E9">
              <w:rPr>
                <w:rFonts w:ascii="Times New Roman" w:eastAsia="Times New Roman" w:hAnsi="Times New Roman" w:cs="Times New Roman"/>
                <w:color w:val="000000"/>
                <w:kern w:val="0"/>
                <w:sz w:val="24"/>
                <w:szCs w:val="20"/>
              </w:rPr>
              <w:t xml:space="preserve"> (в сила от 12.11.2018 г.). П</w:t>
            </w:r>
            <w:r w:rsidRPr="00AC39E9">
              <w:rPr>
                <w:rFonts w:ascii="Times New Roman" w:eastAsia="Times New Roman" w:hAnsi="Times New Roman" w:cs="Times New Roman"/>
                <w:color w:val="000000"/>
                <w:kern w:val="0"/>
                <w:sz w:val="24"/>
                <w:szCs w:val="20"/>
                <w:lang w:val="en"/>
              </w:rPr>
              <w:t>родължителността на преходните периоди</w:t>
            </w:r>
            <w:r w:rsidRPr="00AC39E9">
              <w:rPr>
                <w:rFonts w:ascii="Times New Roman" w:eastAsia="Times New Roman" w:hAnsi="Times New Roman" w:cs="Times New Roman"/>
                <w:color w:val="000000"/>
                <w:kern w:val="0"/>
                <w:sz w:val="24"/>
                <w:szCs w:val="20"/>
              </w:rPr>
              <w:t xml:space="preserve">, за които е предвидено финансово подпомагане за дейности от под-мярката - биологично животновъдство и биологично пчеларство се определят в съответствие с изискванията, уредени в </w:t>
            </w:r>
            <w:r w:rsidRPr="00AC39E9">
              <w:rPr>
                <w:rFonts w:ascii="Times New Roman" w:eastAsia="Times New Roman" w:hAnsi="Times New Roman" w:cs="Times New Roman"/>
                <w:kern w:val="0"/>
                <w:sz w:val="24"/>
                <w:szCs w:val="20"/>
              </w:rPr>
              <w:t xml:space="preserve">Наредба </w:t>
            </w:r>
            <w:r w:rsidRPr="00AC39E9">
              <w:rPr>
                <w:rFonts w:ascii="Times New Roman" w:eastAsia="Times New Roman" w:hAnsi="Times New Roman" w:cs="Times New Roman"/>
                <w:color w:val="000000"/>
                <w:kern w:val="0"/>
                <w:sz w:val="24"/>
                <w:szCs w:val="20"/>
                <w:lang w:val="en"/>
              </w:rPr>
              <w:t>№</w:t>
            </w:r>
            <w:r w:rsidRPr="00AC39E9">
              <w:rPr>
                <w:rFonts w:ascii="Times New Roman" w:eastAsia="Times New Roman" w:hAnsi="Times New Roman" w:cs="Times New Roman"/>
                <w:color w:val="000000"/>
                <w:kern w:val="0"/>
                <w:sz w:val="24"/>
                <w:szCs w:val="20"/>
              </w:rPr>
              <w:t xml:space="preserve"> 5</w:t>
            </w:r>
            <w:r w:rsidRPr="00AC39E9">
              <w:rPr>
                <w:rFonts w:ascii="Times New Roman" w:eastAsia="Times New Roman" w:hAnsi="Times New Roman" w:cs="Times New Roman"/>
                <w:color w:val="000000"/>
                <w:kern w:val="0"/>
                <w:sz w:val="24"/>
                <w:szCs w:val="20"/>
                <w:lang w:val="en"/>
              </w:rPr>
              <w:t xml:space="preserve"> от 3 септември 2018 г. </w:t>
            </w:r>
          </w:p>
        </w:tc>
      </w:tr>
    </w:tbl>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lang w:val="fr-BE"/>
        </w:rPr>
      </w:pPr>
      <w:r w:rsidRPr="00AC39E9">
        <w:rPr>
          <w:rFonts w:ascii="Times New Roman" w:eastAsia="Times New Roman" w:hAnsi="Times New Roman" w:cs="Times New Roman"/>
          <w:i/>
          <w:color w:val="000000"/>
          <w:kern w:val="0"/>
          <w:sz w:val="24"/>
          <w:szCs w:val="20"/>
          <w:lang w:val="fr-BE"/>
        </w:rPr>
        <w:t xml:space="preserve">В </w:t>
      </w:r>
      <w:r w:rsidRPr="00AC39E9">
        <w:rPr>
          <w:rFonts w:ascii="Times New Roman" w:eastAsia="Times New Roman" w:hAnsi="Times New Roman" w:cs="Times New Roman"/>
          <w:color w:val="000000"/>
          <w:kern w:val="0"/>
          <w:sz w:val="24"/>
          <w:szCs w:val="20"/>
        </w:rPr>
        <w:t>точка</w:t>
      </w:r>
      <w:r w:rsidRPr="00AC39E9">
        <w:rPr>
          <w:rFonts w:ascii="Times New Roman" w:eastAsia="Times New Roman" w:hAnsi="Times New Roman" w:cs="Times New Roman"/>
          <w:i/>
          <w:color w:val="000000"/>
          <w:kern w:val="0"/>
          <w:sz w:val="24"/>
          <w:szCs w:val="20"/>
        </w:rPr>
        <w:t xml:space="preserve"> 8.2.9.3.1.3 </w:t>
      </w:r>
      <w:r w:rsidRPr="00AC39E9">
        <w:rPr>
          <w:rFonts w:ascii="Times New Roman" w:eastAsia="Times New Roman" w:hAnsi="Times New Roman" w:cs="Times New Roman"/>
          <w:i/>
          <w:color w:val="000000"/>
          <w:kern w:val="0"/>
          <w:sz w:val="24"/>
          <w:szCs w:val="20"/>
          <w:lang w:val="fr-BE"/>
        </w:rPr>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450" w:type="pct"/>
            <w:shd w:val="clear" w:color="auto" w:fill="auto"/>
            <w:tcMar>
              <w:top w:w="20" w:type="dxa"/>
              <w:bottom w:w="20" w:type="dxa"/>
            </w:tcMar>
            <w:vAlign w:val="center"/>
          </w:tcPr>
          <w:p w:rsidR="00AC39E9" w:rsidRPr="00AC39E9" w:rsidRDefault="00AC39E9" w:rsidP="00386C69">
            <w:pPr>
              <w:widowControl/>
              <w:numPr>
                <w:ilvl w:val="0"/>
                <w:numId w:val="50"/>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Регламент (ЕО) № 834/2007 на съвета от 28 юни 2007 година относно биологичното производство и етикетирането на биологични продукти и за отмяна на Регламент (ЕИО) № 2092/91;</w:t>
            </w:r>
          </w:p>
          <w:p w:rsidR="00AC39E9" w:rsidRPr="00AC39E9" w:rsidRDefault="00AC39E9" w:rsidP="00386C69">
            <w:pPr>
              <w:widowControl/>
              <w:numPr>
                <w:ilvl w:val="0"/>
                <w:numId w:val="50"/>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Регламент на Комисията (ЕО) № 889/2008 от 5 септември 2008 г. за определяне на по</w:t>
            </w:r>
            <w:r w:rsidRPr="00AC39E9">
              <w:rPr>
                <w:rFonts w:ascii="Times New Roman" w:eastAsia="Times New Roman" w:hAnsi="Times New Roman" w:cs="Times New Roman"/>
                <w:kern w:val="0"/>
                <w:sz w:val="24"/>
                <w:szCs w:val="24"/>
              </w:rPr>
              <w:t>д</w:t>
            </w:r>
            <w:r w:rsidRPr="00AC39E9">
              <w:rPr>
                <w:rFonts w:ascii="Times New Roman" w:eastAsia="Times New Roman" w:hAnsi="Times New Roman" w:cs="Times New Roman"/>
                <w:kern w:val="0"/>
                <w:sz w:val="24"/>
                <w:szCs w:val="24"/>
              </w:rPr>
              <w:t>борни правила за прилагането на Регламент (ЕО) № 834/2007 на Съвета относно биол</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гичното производство и етикетирането на биологични продукти по отношение на би</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логичното производство, етикетирането и контрола;</w:t>
            </w:r>
          </w:p>
          <w:p w:rsidR="00AC39E9" w:rsidRPr="00AC39E9" w:rsidRDefault="00AC39E9" w:rsidP="00386C69">
            <w:pPr>
              <w:widowControl/>
              <w:numPr>
                <w:ilvl w:val="0"/>
                <w:numId w:val="50"/>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Регламент (ЕО) № 882/2004 на Европейския парламент и Съвета относно официалния контрол, провеждан с цел осигуряване на проверка на съответствието със законодате</w:t>
            </w:r>
            <w:r w:rsidRPr="00AC39E9">
              <w:rPr>
                <w:rFonts w:ascii="Times New Roman" w:eastAsia="Times New Roman" w:hAnsi="Times New Roman" w:cs="Times New Roman"/>
                <w:kern w:val="0"/>
                <w:sz w:val="24"/>
                <w:szCs w:val="24"/>
              </w:rPr>
              <w:t>л</w:t>
            </w:r>
            <w:r w:rsidRPr="00AC39E9">
              <w:rPr>
                <w:rFonts w:ascii="Times New Roman" w:eastAsia="Times New Roman" w:hAnsi="Times New Roman" w:cs="Times New Roman"/>
                <w:kern w:val="0"/>
                <w:sz w:val="24"/>
                <w:szCs w:val="24"/>
              </w:rPr>
              <w:t>ството в областта на фуражите и храните и правилата за опазване здравето на животн</w:t>
            </w:r>
            <w:r w:rsidRPr="00AC39E9">
              <w:rPr>
                <w:rFonts w:ascii="Times New Roman" w:eastAsia="Times New Roman" w:hAnsi="Times New Roman" w:cs="Times New Roman"/>
                <w:kern w:val="0"/>
                <w:sz w:val="24"/>
                <w:szCs w:val="24"/>
              </w:rPr>
              <w:t>и</w:t>
            </w:r>
            <w:r w:rsidRPr="00AC39E9">
              <w:rPr>
                <w:rFonts w:ascii="Times New Roman" w:eastAsia="Times New Roman" w:hAnsi="Times New Roman" w:cs="Times New Roman"/>
                <w:kern w:val="0"/>
                <w:sz w:val="24"/>
                <w:szCs w:val="24"/>
              </w:rPr>
              <w:t>те и хуманното отношение към животните.</w:t>
            </w:r>
          </w:p>
          <w:p w:rsidR="00AC39E9" w:rsidRPr="00AC39E9" w:rsidRDefault="00AC39E9" w:rsidP="00386C69">
            <w:pPr>
              <w:widowControl/>
              <w:numPr>
                <w:ilvl w:val="0"/>
                <w:numId w:val="50"/>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Наредба №1 от 7 февруари 2013 г. за прилагане на правилата на биологичното прои</w:t>
            </w:r>
            <w:r w:rsidRPr="00AC39E9">
              <w:rPr>
                <w:rFonts w:ascii="Times New Roman" w:eastAsia="Times New Roman" w:hAnsi="Times New Roman" w:cs="Times New Roman"/>
                <w:kern w:val="0"/>
                <w:sz w:val="24"/>
                <w:szCs w:val="24"/>
              </w:rPr>
              <w:t>з</w:t>
            </w:r>
            <w:r w:rsidRPr="00AC39E9">
              <w:rPr>
                <w:rFonts w:ascii="Times New Roman" w:eastAsia="Times New Roman" w:hAnsi="Times New Roman" w:cs="Times New Roman"/>
                <w:kern w:val="0"/>
                <w:sz w:val="24"/>
                <w:szCs w:val="24"/>
              </w:rPr>
              <w:t>водство на растения, животни и аквакултури, растителни, животински продукти, пр</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дукти от аквакултури и храни, тяхното етикетиране и контрола върху производството и етикетирането ( отм. 12.11.2018 г.)</w:t>
            </w:r>
          </w:p>
          <w:p w:rsidR="00AC39E9" w:rsidRPr="00AC39E9" w:rsidRDefault="00AC39E9" w:rsidP="00386C69">
            <w:pPr>
              <w:widowControl/>
              <w:numPr>
                <w:ilvl w:val="0"/>
                <w:numId w:val="50"/>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Наредба № 5 от 3 септември 2018 г. за прилагане на правилата на биологично прои</w:t>
            </w:r>
            <w:r w:rsidRPr="00AC39E9">
              <w:rPr>
                <w:rFonts w:ascii="Times New Roman" w:eastAsia="Times New Roman" w:hAnsi="Times New Roman" w:cs="Times New Roman"/>
                <w:kern w:val="0"/>
                <w:sz w:val="24"/>
                <w:szCs w:val="24"/>
              </w:rPr>
              <w:t>з</w:t>
            </w:r>
            <w:r w:rsidRPr="00AC39E9">
              <w:rPr>
                <w:rFonts w:ascii="Times New Roman" w:eastAsia="Times New Roman" w:hAnsi="Times New Roman" w:cs="Times New Roman"/>
                <w:kern w:val="0"/>
                <w:sz w:val="24"/>
                <w:szCs w:val="24"/>
              </w:rPr>
              <w:t>водство, етикетиране и контрол, и за издаване на разрешение за контролна дейност за спазване на правилата на биологичното производство (в сила от 12.11.2018 г);</w:t>
            </w:r>
          </w:p>
          <w:p w:rsidR="00AC39E9" w:rsidRPr="00AC39E9" w:rsidRDefault="00AC39E9" w:rsidP="00386C69">
            <w:pPr>
              <w:widowControl/>
              <w:numPr>
                <w:ilvl w:val="0"/>
                <w:numId w:val="50"/>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Чл.9 от Регламент (ЕС) № 1307/2013 на Европейския парламент и Съвета от 17 декем</w:t>
            </w:r>
            <w:r w:rsidRPr="00AC39E9">
              <w:rPr>
                <w:rFonts w:ascii="Times New Roman" w:eastAsia="Times New Roman" w:hAnsi="Times New Roman" w:cs="Times New Roman"/>
                <w:kern w:val="0"/>
                <w:sz w:val="24"/>
                <w:szCs w:val="24"/>
              </w:rPr>
              <w:t>в</w:t>
            </w:r>
            <w:r w:rsidRPr="00AC39E9">
              <w:rPr>
                <w:rFonts w:ascii="Times New Roman" w:eastAsia="Times New Roman" w:hAnsi="Times New Roman" w:cs="Times New Roman"/>
                <w:kern w:val="0"/>
                <w:sz w:val="24"/>
                <w:szCs w:val="24"/>
              </w:rPr>
              <w:t>ри 2013 година  за установяване на правила за директни плащания за земеделски ст</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пани по схеми за подпомагане в рамките на общата селскостопанска политика и за о</w:t>
            </w:r>
            <w:r w:rsidRPr="00AC39E9">
              <w:rPr>
                <w:rFonts w:ascii="Times New Roman" w:eastAsia="Times New Roman" w:hAnsi="Times New Roman" w:cs="Times New Roman"/>
                <w:kern w:val="0"/>
                <w:sz w:val="24"/>
                <w:szCs w:val="24"/>
              </w:rPr>
              <w:t>т</w:t>
            </w:r>
            <w:r w:rsidRPr="00AC39E9">
              <w:rPr>
                <w:rFonts w:ascii="Times New Roman" w:eastAsia="Times New Roman" w:hAnsi="Times New Roman" w:cs="Times New Roman"/>
                <w:kern w:val="0"/>
                <w:sz w:val="24"/>
                <w:szCs w:val="24"/>
              </w:rPr>
              <w:t xml:space="preserve">мяна на Регламент (ЕО) № 637/2008 на Съвета и Регламент (ЕО) № 73/2009 на Съвета и </w:t>
            </w:r>
            <w:r w:rsidRPr="00AC39E9">
              <w:rPr>
                <w:rFonts w:ascii="Times New Roman" w:eastAsia="Times New Roman" w:hAnsi="Times New Roman" w:cs="Times New Roman"/>
                <w:kern w:val="0"/>
                <w:sz w:val="24"/>
                <w:szCs w:val="24"/>
              </w:rPr>
              <w:lastRenderedPageBreak/>
              <w:t>съответното национално законодателство, дефиниращо  „активен земеделски стоп</w:t>
            </w:r>
            <w:r w:rsidRPr="00AC39E9">
              <w:rPr>
                <w:rFonts w:ascii="Times New Roman" w:eastAsia="Times New Roman" w:hAnsi="Times New Roman" w:cs="Times New Roman"/>
                <w:kern w:val="0"/>
                <w:sz w:val="24"/>
                <w:szCs w:val="24"/>
              </w:rPr>
              <w:t>а</w:t>
            </w:r>
            <w:r w:rsidRPr="00AC39E9">
              <w:rPr>
                <w:rFonts w:ascii="Times New Roman" w:eastAsia="Times New Roman" w:hAnsi="Times New Roman" w:cs="Times New Roman"/>
                <w:kern w:val="0"/>
                <w:sz w:val="24"/>
                <w:szCs w:val="24"/>
              </w:rPr>
              <w:t>нин”</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lang w:val="fr-BE"/>
        </w:rPr>
      </w:pPr>
      <w:r w:rsidRPr="00AC39E9">
        <w:rPr>
          <w:rFonts w:ascii="Times New Roman" w:eastAsia="Times New Roman" w:hAnsi="Times New Roman" w:cs="Times New Roman"/>
          <w:i/>
          <w:color w:val="000000"/>
          <w:kern w:val="0"/>
          <w:sz w:val="24"/>
          <w:szCs w:val="20"/>
        </w:rPr>
        <w:lastRenderedPageBreak/>
        <w:t xml:space="preserve">В </w:t>
      </w:r>
      <w:r w:rsidRPr="00AC39E9">
        <w:rPr>
          <w:rFonts w:ascii="Times New Roman" w:eastAsia="Times New Roman" w:hAnsi="Times New Roman" w:cs="Times New Roman"/>
          <w:color w:val="000000"/>
          <w:kern w:val="0"/>
          <w:sz w:val="24"/>
          <w:szCs w:val="20"/>
        </w:rPr>
        <w:t>точка</w:t>
      </w:r>
      <w:r w:rsidRPr="00AC39E9">
        <w:rPr>
          <w:rFonts w:ascii="Times New Roman" w:eastAsia="Times New Roman" w:hAnsi="Times New Roman" w:cs="Times New Roman"/>
          <w:i/>
          <w:color w:val="000000"/>
          <w:kern w:val="0"/>
          <w:sz w:val="24"/>
          <w:szCs w:val="20"/>
        </w:rPr>
        <w:t xml:space="preserve"> 8.2.9.3.1.8</w:t>
      </w:r>
      <w:r w:rsidRPr="00AC39E9">
        <w:rPr>
          <w:rFonts w:ascii="Times New Roman" w:eastAsia="Times New Roman" w:hAnsi="Times New Roman" w:cs="Times New Roman"/>
          <w:i/>
          <w:color w:val="000000"/>
          <w:kern w:val="0"/>
          <w:sz w:val="24"/>
          <w:szCs w:val="20"/>
          <w:lang w:val="fr-BE"/>
        </w:rPr>
        <w:t xml:space="preserve"> (Приложими)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45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Подпомагането се предоставя под формата на годишни плащания на хектар използваема зем</w:t>
            </w:r>
            <w:r w:rsidRPr="00AC39E9">
              <w:rPr>
                <w:rFonts w:ascii="Times New Roman" w:eastAsia="Times New Roman" w:hAnsi="Times New Roman" w:cs="Times New Roman"/>
                <w:kern w:val="0"/>
                <w:sz w:val="24"/>
                <w:szCs w:val="24"/>
              </w:rPr>
              <w:t>е</w:t>
            </w:r>
            <w:r w:rsidRPr="00AC39E9">
              <w:rPr>
                <w:rFonts w:ascii="Times New Roman" w:eastAsia="Times New Roman" w:hAnsi="Times New Roman" w:cs="Times New Roman"/>
                <w:kern w:val="0"/>
                <w:sz w:val="24"/>
                <w:szCs w:val="24"/>
              </w:rPr>
              <w:t>делска площ.</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Нивата за подпомагане са следните:</w:t>
            </w:r>
          </w:p>
          <w:p w:rsidR="00AC39E9" w:rsidRPr="00AC39E9" w:rsidRDefault="00AC39E9" w:rsidP="00386C69">
            <w:pPr>
              <w:widowControl/>
              <w:numPr>
                <w:ilvl w:val="0"/>
                <w:numId w:val="51"/>
              </w:numPr>
              <w:suppressAutoHyphens w:val="0"/>
              <w:autoSpaceDN/>
              <w:spacing w:before="24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полски култури, включително фуражни - 284 Евро/ха. За заявените за подпомагане площи след 01.01.2018 г. – 282 евро/ха;</w:t>
            </w:r>
          </w:p>
          <w:p w:rsidR="00AC39E9" w:rsidRPr="00AC39E9" w:rsidRDefault="00AC39E9" w:rsidP="00386C69">
            <w:pPr>
              <w:widowControl/>
              <w:numPr>
                <w:ilvl w:val="0"/>
                <w:numId w:val="51"/>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постоянно затревени площи – 128 Евро/ха;</w:t>
            </w:r>
          </w:p>
          <w:p w:rsidR="00AC39E9" w:rsidRPr="00AC39E9" w:rsidRDefault="00AC39E9" w:rsidP="00386C69">
            <w:pPr>
              <w:widowControl/>
              <w:numPr>
                <w:ilvl w:val="0"/>
                <w:numId w:val="51"/>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трайни насаждения, овощни култури и лозя – 736 Евро/ха;</w:t>
            </w:r>
          </w:p>
          <w:p w:rsidR="00AC39E9" w:rsidRPr="00AC39E9" w:rsidRDefault="00AC39E9" w:rsidP="00386C69">
            <w:pPr>
              <w:widowControl/>
              <w:numPr>
                <w:ilvl w:val="0"/>
                <w:numId w:val="51"/>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ароматни и медицински растения – 515 Евро/ха;</w:t>
            </w:r>
          </w:p>
          <w:p w:rsidR="00AC39E9" w:rsidRPr="00AC39E9" w:rsidRDefault="00AC39E9" w:rsidP="00386C69">
            <w:pPr>
              <w:widowControl/>
              <w:numPr>
                <w:ilvl w:val="0"/>
                <w:numId w:val="51"/>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зеленчукови култури – 575 Евро/ха;</w:t>
            </w:r>
          </w:p>
          <w:p w:rsidR="00AC39E9" w:rsidRPr="00AC39E9" w:rsidRDefault="00AC39E9" w:rsidP="00386C69">
            <w:pPr>
              <w:widowControl/>
              <w:numPr>
                <w:ilvl w:val="0"/>
                <w:numId w:val="51"/>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за пчелно семейство – в евро – 35 Евро/пчелно семейство;</w:t>
            </w:r>
          </w:p>
          <w:p w:rsidR="00AC39E9" w:rsidRPr="00AC39E9" w:rsidRDefault="00AC39E9" w:rsidP="00AC39E9">
            <w:pPr>
              <w:widowControl/>
              <w:suppressAutoHyphens w:val="0"/>
              <w:autoSpaceDN/>
              <w:spacing w:before="240" w:after="240" w:line="240" w:lineRule="auto"/>
              <w:ind w:left="720"/>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Плащане на ха фуражна площ или постоянно затревена площ за животни от основното стадо (без приплодите), за 1 ЖЕ/ха – в евро/ха:</w:t>
            </w:r>
          </w:p>
          <w:p w:rsidR="00AC39E9" w:rsidRPr="00AC39E9" w:rsidRDefault="00AC39E9" w:rsidP="00AC39E9">
            <w:pPr>
              <w:widowControl/>
              <w:suppressAutoHyphens w:val="0"/>
              <w:autoSpaceDN/>
              <w:spacing w:before="240" w:after="240" w:line="240" w:lineRule="auto"/>
              <w:ind w:left="644"/>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едри преживни животни (млечни крави и биволици), отглеждани за мляко – 230 евро/ха;</w:t>
            </w:r>
          </w:p>
          <w:p w:rsidR="00AC39E9" w:rsidRPr="00AC39E9" w:rsidRDefault="00AC39E9" w:rsidP="00AC39E9">
            <w:pPr>
              <w:widowControl/>
              <w:suppressAutoHyphens w:val="0"/>
              <w:autoSpaceDN/>
              <w:spacing w:before="240" w:after="240" w:line="240" w:lineRule="auto"/>
              <w:ind w:left="644"/>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едри преживни животни (месодайни крави и биволици), отглеждани за месо  -  160 евро/ха;</w:t>
            </w:r>
          </w:p>
          <w:p w:rsidR="00AC39E9" w:rsidRPr="00AC39E9" w:rsidRDefault="00AC39E9" w:rsidP="00AC39E9">
            <w:pPr>
              <w:widowControl/>
              <w:suppressAutoHyphens w:val="0"/>
              <w:autoSpaceDN/>
              <w:spacing w:before="240" w:after="240" w:line="240" w:lineRule="auto"/>
              <w:ind w:left="644"/>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дребни преживни животни (овце-майки и  кози- майки), отглеждани за  произво</w:t>
            </w:r>
            <w:r w:rsidRPr="00AC39E9">
              <w:rPr>
                <w:rFonts w:ascii="Times New Roman" w:eastAsia="Times New Roman" w:hAnsi="Times New Roman" w:cs="Times New Roman"/>
                <w:kern w:val="0"/>
                <w:sz w:val="24"/>
                <w:szCs w:val="24"/>
              </w:rPr>
              <w:t>д</w:t>
            </w:r>
            <w:r w:rsidRPr="00AC39E9">
              <w:rPr>
                <w:rFonts w:ascii="Times New Roman" w:eastAsia="Times New Roman" w:hAnsi="Times New Roman" w:cs="Times New Roman"/>
                <w:kern w:val="0"/>
                <w:sz w:val="24"/>
                <w:szCs w:val="24"/>
              </w:rPr>
              <w:t>ство (мляко и/или месо)  122 евро/ха.</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lang w:val="fr-BE"/>
        </w:rPr>
      </w:pPr>
      <w:r w:rsidRPr="00AC39E9">
        <w:rPr>
          <w:rFonts w:ascii="Times New Roman" w:eastAsia="Times New Roman" w:hAnsi="Times New Roman" w:cs="Times New Roman"/>
          <w:i/>
          <w:color w:val="000000"/>
          <w:kern w:val="0"/>
          <w:sz w:val="24"/>
          <w:szCs w:val="20"/>
          <w:lang w:val="fr-BE"/>
        </w:rPr>
        <w:t xml:space="preserve">В </w:t>
      </w:r>
      <w:r w:rsidRPr="00AC39E9">
        <w:rPr>
          <w:rFonts w:ascii="Times New Roman" w:eastAsia="Times New Roman" w:hAnsi="Times New Roman" w:cs="Times New Roman"/>
          <w:color w:val="000000"/>
          <w:kern w:val="0"/>
          <w:sz w:val="24"/>
          <w:szCs w:val="20"/>
        </w:rPr>
        <w:t>точка</w:t>
      </w:r>
      <w:r w:rsidRPr="00AC39E9">
        <w:rPr>
          <w:rFonts w:ascii="Times New Roman" w:eastAsia="Times New Roman" w:hAnsi="Times New Roman" w:cs="Times New Roman"/>
          <w:i/>
          <w:color w:val="000000"/>
          <w:kern w:val="0"/>
          <w:sz w:val="24"/>
          <w:szCs w:val="20"/>
        </w:rPr>
        <w:t xml:space="preserve"> 8.2.9.3.2.3 </w:t>
      </w:r>
      <w:r w:rsidRPr="00AC39E9">
        <w:rPr>
          <w:rFonts w:ascii="Times New Roman" w:eastAsia="Times New Roman" w:hAnsi="Times New Roman" w:cs="Times New Roman"/>
          <w:i/>
          <w:color w:val="000000"/>
          <w:kern w:val="0"/>
          <w:sz w:val="24"/>
          <w:szCs w:val="20"/>
          <w:lang w:val="fr-BE"/>
        </w:rPr>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450" w:type="pct"/>
            <w:shd w:val="clear" w:color="auto" w:fill="auto"/>
            <w:tcMar>
              <w:top w:w="20" w:type="dxa"/>
              <w:bottom w:w="20" w:type="dxa"/>
            </w:tcMar>
            <w:vAlign w:val="center"/>
          </w:tcPr>
          <w:p w:rsidR="00AC39E9" w:rsidRPr="00AC39E9" w:rsidRDefault="00AC39E9" w:rsidP="00386C69">
            <w:pPr>
              <w:widowControl/>
              <w:numPr>
                <w:ilvl w:val="0"/>
                <w:numId w:val="52"/>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Регламент (ЕО) № 834/2007 на Съвета от 28 юни 2007 година относно биологичното производство и етикетирането на биологични продукти и за отмяна на Регламент (ЕИО) № 2092/91;</w:t>
            </w:r>
          </w:p>
          <w:p w:rsidR="00AC39E9" w:rsidRPr="00AC39E9" w:rsidRDefault="00AC39E9" w:rsidP="00386C69">
            <w:pPr>
              <w:widowControl/>
              <w:numPr>
                <w:ilvl w:val="0"/>
                <w:numId w:val="52"/>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Регламент на Комисията (ЕО) № 889/2008 от 5 септември 2008 г. за определяне на по</w:t>
            </w:r>
            <w:r w:rsidRPr="00AC39E9">
              <w:rPr>
                <w:rFonts w:ascii="Times New Roman" w:eastAsia="Times New Roman" w:hAnsi="Times New Roman" w:cs="Times New Roman"/>
                <w:kern w:val="0"/>
                <w:sz w:val="24"/>
                <w:szCs w:val="24"/>
              </w:rPr>
              <w:t>д</w:t>
            </w:r>
            <w:r w:rsidRPr="00AC39E9">
              <w:rPr>
                <w:rFonts w:ascii="Times New Roman" w:eastAsia="Times New Roman" w:hAnsi="Times New Roman" w:cs="Times New Roman"/>
                <w:kern w:val="0"/>
                <w:sz w:val="24"/>
                <w:szCs w:val="24"/>
              </w:rPr>
              <w:t>борни правила за прилагането на Регламент (ЕО) № 834/2007 на Съвета относно биол</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гичното производство и етикетирането на биологични продукти по отношение на би</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логичното производство, етикетирането и контрола;</w:t>
            </w:r>
          </w:p>
          <w:p w:rsidR="00AC39E9" w:rsidRPr="00AC39E9" w:rsidRDefault="00AC39E9" w:rsidP="00386C69">
            <w:pPr>
              <w:widowControl/>
              <w:numPr>
                <w:ilvl w:val="0"/>
                <w:numId w:val="52"/>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Регламент (ЕО) № 882/2004 на Европейския парламент и Съвета относно официалния контрол, провеждан с цел осигуряване на проверка на съответствието със законодате</w:t>
            </w:r>
            <w:r w:rsidRPr="00AC39E9">
              <w:rPr>
                <w:rFonts w:ascii="Times New Roman" w:eastAsia="Times New Roman" w:hAnsi="Times New Roman" w:cs="Times New Roman"/>
                <w:kern w:val="0"/>
                <w:sz w:val="24"/>
                <w:szCs w:val="24"/>
              </w:rPr>
              <w:t>л</w:t>
            </w:r>
            <w:r w:rsidRPr="00AC39E9">
              <w:rPr>
                <w:rFonts w:ascii="Times New Roman" w:eastAsia="Times New Roman" w:hAnsi="Times New Roman" w:cs="Times New Roman"/>
                <w:kern w:val="0"/>
                <w:sz w:val="24"/>
                <w:szCs w:val="24"/>
              </w:rPr>
              <w:t>ството в областта на фуражите и храните и правилата за опазване здравето на животн</w:t>
            </w:r>
            <w:r w:rsidRPr="00AC39E9">
              <w:rPr>
                <w:rFonts w:ascii="Times New Roman" w:eastAsia="Times New Roman" w:hAnsi="Times New Roman" w:cs="Times New Roman"/>
                <w:kern w:val="0"/>
                <w:sz w:val="24"/>
                <w:szCs w:val="24"/>
              </w:rPr>
              <w:t>и</w:t>
            </w:r>
            <w:r w:rsidRPr="00AC39E9">
              <w:rPr>
                <w:rFonts w:ascii="Times New Roman" w:eastAsia="Times New Roman" w:hAnsi="Times New Roman" w:cs="Times New Roman"/>
                <w:kern w:val="0"/>
                <w:sz w:val="24"/>
                <w:szCs w:val="24"/>
              </w:rPr>
              <w:t>те и хуманното отношение към животните.</w:t>
            </w:r>
          </w:p>
          <w:p w:rsidR="00AC39E9" w:rsidRPr="00AC39E9" w:rsidRDefault="00AC39E9" w:rsidP="00386C69">
            <w:pPr>
              <w:widowControl/>
              <w:numPr>
                <w:ilvl w:val="0"/>
                <w:numId w:val="53"/>
              </w:numPr>
              <w:suppressAutoHyphens w:val="0"/>
              <w:autoSpaceDN/>
              <w:spacing w:before="24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lastRenderedPageBreak/>
              <w:t> Наредба №1 от 7 февруари 2013 г. за прилагане на правилата на биологичното прои</w:t>
            </w:r>
            <w:r w:rsidRPr="00AC39E9">
              <w:rPr>
                <w:rFonts w:ascii="Times New Roman" w:eastAsia="Times New Roman" w:hAnsi="Times New Roman" w:cs="Times New Roman"/>
                <w:kern w:val="0"/>
                <w:sz w:val="24"/>
                <w:szCs w:val="24"/>
              </w:rPr>
              <w:t>з</w:t>
            </w:r>
            <w:r w:rsidRPr="00AC39E9">
              <w:rPr>
                <w:rFonts w:ascii="Times New Roman" w:eastAsia="Times New Roman" w:hAnsi="Times New Roman" w:cs="Times New Roman"/>
                <w:kern w:val="0"/>
                <w:sz w:val="24"/>
                <w:szCs w:val="24"/>
              </w:rPr>
              <w:t>водство на растения, животни и аквакултури, растителни, животински продукти, пр</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дукти от аквакултури и храни, тяхното етикетиране и контрола върху производството и етикетирането (отм.от 12.11.2018 г.);</w:t>
            </w:r>
          </w:p>
          <w:p w:rsidR="00AC39E9" w:rsidRPr="00AC39E9" w:rsidRDefault="00AC39E9" w:rsidP="00386C69">
            <w:pPr>
              <w:widowControl/>
              <w:numPr>
                <w:ilvl w:val="0"/>
                <w:numId w:val="53"/>
              </w:numPr>
              <w:suppressAutoHyphens w:val="0"/>
              <w:autoSpaceDN/>
              <w:spacing w:before="240" w:after="0" w:line="240" w:lineRule="auto"/>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Наредба № 5 от 3 септември 2018 г. за прилагане на правилата на биологично прои</w:t>
            </w:r>
            <w:r w:rsidRPr="00AC39E9">
              <w:rPr>
                <w:rFonts w:ascii="Times New Roman" w:eastAsia="Times New Roman" w:hAnsi="Times New Roman" w:cs="Times New Roman"/>
                <w:kern w:val="0"/>
                <w:sz w:val="24"/>
                <w:szCs w:val="24"/>
              </w:rPr>
              <w:t>з</w:t>
            </w:r>
            <w:r w:rsidRPr="00AC39E9">
              <w:rPr>
                <w:rFonts w:ascii="Times New Roman" w:eastAsia="Times New Roman" w:hAnsi="Times New Roman" w:cs="Times New Roman"/>
                <w:kern w:val="0"/>
                <w:sz w:val="24"/>
                <w:szCs w:val="24"/>
              </w:rPr>
              <w:t>водство, етикетиране и контрол, и за издаване на разрешение за контролна дейност за спазване на правилата на биологичното производство ( в сила от 12.11.2018 г.)</w:t>
            </w:r>
          </w:p>
          <w:p w:rsidR="00AC39E9" w:rsidRPr="00AC39E9" w:rsidRDefault="00AC39E9" w:rsidP="00386C69">
            <w:pPr>
              <w:widowControl/>
              <w:numPr>
                <w:ilvl w:val="0"/>
                <w:numId w:val="53"/>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Чл.9 от Регламент (ЕС) № 1307/2013 на Европейския парламент и Съвета от 17 декем</w:t>
            </w:r>
            <w:r w:rsidRPr="00AC39E9">
              <w:rPr>
                <w:rFonts w:ascii="Times New Roman" w:eastAsia="Times New Roman" w:hAnsi="Times New Roman" w:cs="Times New Roman"/>
                <w:kern w:val="0"/>
                <w:sz w:val="24"/>
                <w:szCs w:val="24"/>
              </w:rPr>
              <w:t>в</w:t>
            </w:r>
            <w:r w:rsidRPr="00AC39E9">
              <w:rPr>
                <w:rFonts w:ascii="Times New Roman" w:eastAsia="Times New Roman" w:hAnsi="Times New Roman" w:cs="Times New Roman"/>
                <w:kern w:val="0"/>
                <w:sz w:val="24"/>
                <w:szCs w:val="24"/>
              </w:rPr>
              <w:t>ри 2013 година  за установяване на правила за директни плащания за земеделски ст</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пани по схеми за подпомагане в рамките на общата селскостопанска политика и за о</w:t>
            </w:r>
            <w:r w:rsidRPr="00AC39E9">
              <w:rPr>
                <w:rFonts w:ascii="Times New Roman" w:eastAsia="Times New Roman" w:hAnsi="Times New Roman" w:cs="Times New Roman"/>
                <w:kern w:val="0"/>
                <w:sz w:val="24"/>
                <w:szCs w:val="24"/>
              </w:rPr>
              <w:t>т</w:t>
            </w:r>
            <w:r w:rsidRPr="00AC39E9">
              <w:rPr>
                <w:rFonts w:ascii="Times New Roman" w:eastAsia="Times New Roman" w:hAnsi="Times New Roman" w:cs="Times New Roman"/>
                <w:kern w:val="0"/>
                <w:sz w:val="24"/>
                <w:szCs w:val="24"/>
              </w:rPr>
              <w:t>мяна на Регламент (ЕО) № 637/2008 на Съвета и Регламент (ЕО) № 73/2009 на Съвета и съответното национално законодателство, дефиниращо  „активен земеделски стоп</w:t>
            </w:r>
            <w:r w:rsidRPr="00AC39E9">
              <w:rPr>
                <w:rFonts w:ascii="Times New Roman" w:eastAsia="Times New Roman" w:hAnsi="Times New Roman" w:cs="Times New Roman"/>
                <w:kern w:val="0"/>
                <w:sz w:val="24"/>
                <w:szCs w:val="24"/>
              </w:rPr>
              <w:t>а</w:t>
            </w:r>
            <w:r w:rsidRPr="00AC39E9">
              <w:rPr>
                <w:rFonts w:ascii="Times New Roman" w:eastAsia="Times New Roman" w:hAnsi="Times New Roman" w:cs="Times New Roman"/>
                <w:kern w:val="0"/>
                <w:sz w:val="24"/>
                <w:szCs w:val="24"/>
              </w:rPr>
              <w:t>нин”.</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lang w:val="fr-BE"/>
        </w:rPr>
      </w:pPr>
      <w:r w:rsidRPr="00AC39E9">
        <w:rPr>
          <w:rFonts w:ascii="Times New Roman" w:eastAsia="Times New Roman" w:hAnsi="Times New Roman" w:cs="Times New Roman"/>
          <w:i/>
          <w:color w:val="000000"/>
          <w:kern w:val="0"/>
          <w:sz w:val="24"/>
          <w:szCs w:val="20"/>
        </w:rPr>
        <w:lastRenderedPageBreak/>
        <w:t xml:space="preserve">В </w:t>
      </w:r>
      <w:r w:rsidRPr="00AC39E9">
        <w:rPr>
          <w:rFonts w:ascii="Times New Roman" w:eastAsia="Times New Roman" w:hAnsi="Times New Roman" w:cs="Times New Roman"/>
          <w:color w:val="000000"/>
          <w:kern w:val="0"/>
          <w:sz w:val="24"/>
          <w:szCs w:val="20"/>
        </w:rPr>
        <w:t>точка</w:t>
      </w:r>
      <w:r w:rsidRPr="00AC39E9">
        <w:rPr>
          <w:rFonts w:ascii="Times New Roman" w:eastAsia="Times New Roman" w:hAnsi="Times New Roman" w:cs="Times New Roman"/>
          <w:i/>
          <w:color w:val="000000"/>
          <w:kern w:val="0"/>
          <w:sz w:val="24"/>
          <w:szCs w:val="20"/>
        </w:rPr>
        <w:t xml:space="preserve"> 8.2.9.3.2.8</w:t>
      </w:r>
      <w:r w:rsidRPr="00AC39E9">
        <w:rPr>
          <w:rFonts w:ascii="Times New Roman" w:eastAsia="Times New Roman" w:hAnsi="Times New Roman" w:cs="Times New Roman"/>
          <w:i/>
          <w:color w:val="000000"/>
          <w:kern w:val="0"/>
          <w:sz w:val="24"/>
          <w:szCs w:val="20"/>
          <w:lang w:val="fr-BE"/>
        </w:rPr>
        <w:t xml:space="preserve"> (Приложими)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45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Подпомагането се предоставя под формата на годишни плащания на хектар използваема зем</w:t>
            </w:r>
            <w:r w:rsidRPr="00AC39E9">
              <w:rPr>
                <w:rFonts w:ascii="Times New Roman" w:eastAsia="Times New Roman" w:hAnsi="Times New Roman" w:cs="Times New Roman"/>
                <w:kern w:val="0"/>
                <w:sz w:val="24"/>
                <w:szCs w:val="24"/>
              </w:rPr>
              <w:t>е</w:t>
            </w:r>
            <w:r w:rsidRPr="00AC39E9">
              <w:rPr>
                <w:rFonts w:ascii="Times New Roman" w:eastAsia="Times New Roman" w:hAnsi="Times New Roman" w:cs="Times New Roman"/>
                <w:kern w:val="0"/>
                <w:sz w:val="24"/>
                <w:szCs w:val="24"/>
              </w:rPr>
              <w:t>делска площ.</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Нивата за подпомагане са следните:</w:t>
            </w:r>
          </w:p>
          <w:p w:rsidR="00AC39E9" w:rsidRPr="00AC39E9" w:rsidRDefault="00AC39E9" w:rsidP="00386C69">
            <w:pPr>
              <w:widowControl/>
              <w:numPr>
                <w:ilvl w:val="0"/>
                <w:numId w:val="54"/>
              </w:numPr>
              <w:suppressAutoHyphens w:val="0"/>
              <w:autoSpaceDN/>
              <w:spacing w:before="24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полски култури, включително фуражни -  168 Евро/ха. За заявените за подпомагане площи след 01.01.2018 г. – 166 евро/ха;</w:t>
            </w:r>
          </w:p>
          <w:p w:rsidR="00AC39E9" w:rsidRPr="00AC39E9" w:rsidRDefault="00AC39E9" w:rsidP="00386C69">
            <w:pPr>
              <w:widowControl/>
              <w:numPr>
                <w:ilvl w:val="0"/>
                <w:numId w:val="54"/>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постоянно затревени площи –112 Евро/ха;</w:t>
            </w:r>
          </w:p>
          <w:p w:rsidR="00AC39E9" w:rsidRPr="00AC39E9" w:rsidRDefault="00AC39E9" w:rsidP="00386C69">
            <w:pPr>
              <w:widowControl/>
              <w:numPr>
                <w:ilvl w:val="0"/>
                <w:numId w:val="54"/>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трайни насаждения, овощни култури и лозя –557 Евро/ха;</w:t>
            </w:r>
          </w:p>
          <w:p w:rsidR="00AC39E9" w:rsidRPr="00AC39E9" w:rsidRDefault="00AC39E9" w:rsidP="00386C69">
            <w:pPr>
              <w:widowControl/>
              <w:numPr>
                <w:ilvl w:val="0"/>
                <w:numId w:val="54"/>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ароматни и медицински растения – 405 Евро/ха;</w:t>
            </w:r>
          </w:p>
          <w:p w:rsidR="00AC39E9" w:rsidRPr="00AC39E9" w:rsidRDefault="00AC39E9" w:rsidP="00386C69">
            <w:pPr>
              <w:widowControl/>
              <w:numPr>
                <w:ilvl w:val="0"/>
                <w:numId w:val="54"/>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зеленчукови култури – 399 Евро/ха;</w:t>
            </w:r>
          </w:p>
          <w:p w:rsidR="00AC39E9" w:rsidRPr="00AC39E9" w:rsidRDefault="00AC39E9" w:rsidP="00386C69">
            <w:pPr>
              <w:widowControl/>
              <w:numPr>
                <w:ilvl w:val="0"/>
                <w:numId w:val="54"/>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за пчелно семейство -  25 Евро/пчелно семейство;</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Плащане на ха фуражна или постоянно затревена площ за животни от основното стадо (без приплодите), за 1 ЖЕ/ха – в евро/ха</w:t>
            </w:r>
            <w:r w:rsidRPr="00AC39E9">
              <w:rPr>
                <w:rFonts w:ascii="Times New Roman" w:eastAsia="Times New Roman" w:hAnsi="Times New Roman" w:cs="Times New Roman"/>
                <w:b/>
                <w:bCs/>
                <w:kern w:val="0"/>
                <w:sz w:val="24"/>
                <w:szCs w:val="24"/>
              </w:rPr>
              <w:t>:</w:t>
            </w:r>
          </w:p>
          <w:p w:rsidR="00AC39E9" w:rsidRPr="00AC39E9" w:rsidRDefault="00AC39E9" w:rsidP="00386C69">
            <w:pPr>
              <w:widowControl/>
              <w:numPr>
                <w:ilvl w:val="0"/>
                <w:numId w:val="55"/>
              </w:numPr>
              <w:suppressAutoHyphens w:val="0"/>
              <w:autoSpaceDN/>
              <w:spacing w:before="24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едри преживни животни (млечни крави и биволици), отглеждани за мляко – 77 евро/ха;</w:t>
            </w:r>
          </w:p>
          <w:p w:rsidR="00AC39E9" w:rsidRPr="00AC39E9" w:rsidRDefault="00AC39E9" w:rsidP="00386C69">
            <w:pPr>
              <w:widowControl/>
              <w:numPr>
                <w:ilvl w:val="0"/>
                <w:numId w:val="55"/>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едри преживни животни (месодайни крави и биволици), отглеждани за месо  - 63 е</w:t>
            </w:r>
            <w:r w:rsidRPr="00AC39E9">
              <w:rPr>
                <w:rFonts w:ascii="Times New Roman" w:eastAsia="Times New Roman" w:hAnsi="Times New Roman" w:cs="Times New Roman"/>
                <w:kern w:val="0"/>
                <w:sz w:val="24"/>
                <w:szCs w:val="24"/>
              </w:rPr>
              <w:t>в</w:t>
            </w:r>
            <w:r w:rsidRPr="00AC39E9">
              <w:rPr>
                <w:rFonts w:ascii="Times New Roman" w:eastAsia="Times New Roman" w:hAnsi="Times New Roman" w:cs="Times New Roman"/>
                <w:kern w:val="0"/>
                <w:sz w:val="24"/>
                <w:szCs w:val="24"/>
              </w:rPr>
              <w:t>ро/ха;</w:t>
            </w:r>
          </w:p>
          <w:p w:rsidR="00AC39E9" w:rsidRPr="00AC39E9" w:rsidRDefault="00AC39E9" w:rsidP="00386C69">
            <w:pPr>
              <w:widowControl/>
              <w:numPr>
                <w:ilvl w:val="0"/>
                <w:numId w:val="55"/>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дребни преживни животни (овце-майки и  кози-майки), отглеждани за  производство (мляко и/или месо) 90 евро/ха.</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0"/>
        </w:rPr>
      </w:pPr>
    </w:p>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lang w:val="fr-BE"/>
        </w:rPr>
      </w:pPr>
      <w:r w:rsidRPr="00AC39E9">
        <w:rPr>
          <w:rFonts w:ascii="Times New Roman" w:eastAsia="Times New Roman" w:hAnsi="Times New Roman" w:cs="Times New Roman"/>
          <w:i/>
          <w:color w:val="000000"/>
          <w:kern w:val="0"/>
          <w:sz w:val="24"/>
          <w:szCs w:val="20"/>
        </w:rPr>
        <w:t xml:space="preserve">В </w:t>
      </w:r>
      <w:r w:rsidRPr="00AC39E9">
        <w:rPr>
          <w:rFonts w:ascii="Times New Roman" w:eastAsia="Times New Roman" w:hAnsi="Times New Roman" w:cs="Times New Roman"/>
          <w:i/>
          <w:color w:val="000000"/>
          <w:kern w:val="0"/>
          <w:sz w:val="24"/>
          <w:szCs w:val="20"/>
          <w:lang w:val="fr-BE"/>
        </w:rPr>
        <w:t>Методологията за изчисляване на компенсаторните плащания</w:t>
      </w:r>
      <w:r w:rsidRPr="00AC39E9">
        <w:rPr>
          <w:rFonts w:ascii="Times New Roman" w:eastAsia="Times New Roman" w:hAnsi="Times New Roman" w:cs="Times New Roman"/>
          <w:i/>
          <w:color w:val="000000"/>
          <w:kern w:val="0"/>
          <w:sz w:val="24"/>
          <w:szCs w:val="20"/>
        </w:rPr>
        <w:t>, която е част от</w:t>
      </w:r>
      <w:r w:rsidRPr="00AC39E9">
        <w:rPr>
          <w:rFonts w:ascii="Times New Roman" w:eastAsia="Times New Roman" w:hAnsi="Times New Roman" w:cs="Times New Roman"/>
          <w:i/>
          <w:color w:val="000000"/>
          <w:kern w:val="0"/>
          <w:sz w:val="24"/>
          <w:szCs w:val="20"/>
          <w:lang w:val="fr-BE"/>
        </w:rPr>
        <w:t xml:space="preserve"> точка 8.2.9.4.3. Специфична информация за мярката</w:t>
      </w:r>
      <w:r w:rsidRPr="00AC39E9">
        <w:rPr>
          <w:rFonts w:ascii="Times New Roman" w:eastAsia="Times New Roman" w:hAnsi="Times New Roman" w:cs="Times New Roman"/>
          <w:i/>
          <w:color w:val="000000"/>
          <w:kern w:val="0"/>
          <w:sz w:val="24"/>
          <w:szCs w:val="20"/>
        </w:rPr>
        <w:t xml:space="preserve"> в текста след нивата на подпомагане се добавя текста: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500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b/>
                <w:bCs/>
                <w:kern w:val="0"/>
                <w:sz w:val="24"/>
                <w:szCs w:val="24"/>
              </w:rPr>
              <w:t>Методология за изчисляване на компенсаторните плащания по мярка 11 „Биологично земеделие”</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lastRenderedPageBreak/>
              <w:t> </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Изчислените нива за подпомагане при биологичното растениевъдство са както следва (в е</w:t>
            </w:r>
            <w:r w:rsidRPr="00AC39E9">
              <w:rPr>
                <w:rFonts w:ascii="Times New Roman" w:eastAsia="Times New Roman" w:hAnsi="Times New Roman" w:cs="Times New Roman"/>
                <w:kern w:val="0"/>
                <w:sz w:val="24"/>
                <w:szCs w:val="24"/>
              </w:rPr>
              <w:t>в</w:t>
            </w:r>
            <w:r w:rsidRPr="00AC39E9">
              <w:rPr>
                <w:rFonts w:ascii="Times New Roman" w:eastAsia="Times New Roman" w:hAnsi="Times New Roman" w:cs="Times New Roman"/>
                <w:kern w:val="0"/>
                <w:sz w:val="24"/>
                <w:szCs w:val="24"/>
              </w:rPr>
              <w:t>ро/ха):</w:t>
            </w:r>
          </w:p>
          <w:p w:rsidR="00AC39E9" w:rsidRPr="00AC39E9" w:rsidRDefault="00AC39E9" w:rsidP="00AC39E9">
            <w:pPr>
              <w:widowControl/>
              <w:suppressAutoHyphens w:val="0"/>
              <w:autoSpaceDN/>
              <w:spacing w:before="240" w:after="240" w:line="240" w:lineRule="auto"/>
              <w:ind w:left="644"/>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полски култури, включително фуражни - 284 евро/ха в преход; 168 евро/ха след прехода:</w:t>
            </w:r>
          </w:p>
          <w:p w:rsidR="00AC39E9" w:rsidRPr="00AC39E9" w:rsidRDefault="00AC39E9" w:rsidP="00AC39E9">
            <w:pPr>
              <w:widowControl/>
              <w:suppressAutoHyphens w:val="0"/>
              <w:autoSpaceDN/>
              <w:spacing w:before="240" w:after="240" w:line="240" w:lineRule="auto"/>
              <w:ind w:left="644"/>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постоянно затревени площи –128 евро/ха в преход, 112 евро/ха след прехода:</w:t>
            </w:r>
          </w:p>
          <w:p w:rsidR="00AC39E9" w:rsidRPr="00AC39E9" w:rsidRDefault="00AC39E9" w:rsidP="00AC39E9">
            <w:pPr>
              <w:widowControl/>
              <w:suppressAutoHyphens w:val="0"/>
              <w:autoSpaceDN/>
              <w:spacing w:before="240" w:after="240" w:line="240" w:lineRule="auto"/>
              <w:ind w:left="644"/>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зеленчукови култури –575 евро/ха в преход, 399 евро/ха след прехода</w:t>
            </w:r>
          </w:p>
          <w:p w:rsidR="00AC39E9" w:rsidRPr="00AC39E9" w:rsidRDefault="00AC39E9" w:rsidP="00AC39E9">
            <w:pPr>
              <w:widowControl/>
              <w:suppressAutoHyphens w:val="0"/>
              <w:autoSpaceDN/>
              <w:spacing w:before="240" w:after="240" w:line="240" w:lineRule="auto"/>
              <w:ind w:left="644"/>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трайни насаждения, овощни култури и лозя –736 евро/ха в преход, 557 евро/ха след прехода;</w:t>
            </w:r>
          </w:p>
          <w:p w:rsidR="00AC39E9" w:rsidRPr="00AC39E9" w:rsidRDefault="00AC39E9" w:rsidP="00AC39E9">
            <w:pPr>
              <w:widowControl/>
              <w:suppressAutoHyphens w:val="0"/>
              <w:autoSpaceDN/>
              <w:spacing w:before="240" w:after="240" w:line="240" w:lineRule="auto"/>
              <w:ind w:left="644"/>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ароматни и медицински растения – (515 евро/ха в преход, 405 евро/хаслед прех</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да;</w:t>
            </w:r>
          </w:p>
          <w:p w:rsidR="00AC39E9" w:rsidRPr="00AC39E9" w:rsidRDefault="00AC39E9" w:rsidP="00AC39E9">
            <w:pPr>
              <w:widowControl/>
              <w:suppressAutoHyphens w:val="0"/>
              <w:autoSpaceDN/>
              <w:spacing w:before="240" w:after="240" w:line="240" w:lineRule="auto"/>
              <w:ind w:left="644"/>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за пчелно семейство –35 евро/ха в преход, 25 евро/ха след прехода.</w:t>
            </w:r>
          </w:p>
          <w:p w:rsidR="00AC39E9" w:rsidRPr="00AC39E9" w:rsidRDefault="00AC39E9" w:rsidP="00AC39E9">
            <w:pPr>
              <w:widowControl/>
              <w:suppressAutoHyphens w:val="0"/>
              <w:autoSpaceDN/>
              <w:spacing w:before="240" w:after="240" w:line="240" w:lineRule="auto"/>
              <w:ind w:left="20"/>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Във връзка с влязла в сила от 01.01.2018 г. забрана за използване на препарати за растителна защита при прилагане на практики по чл. 43 от Регламент 1307/2013 г. е извършен анализ на необходимостта от преразглеждане на нивата на подпомагане по мярката с оглед на избягване на риск от двойно финансиране. За част от дейностите е предвидено намаление на размера на подпомагане с фиксирана средна сума, което е приложимо за площите от съответната опер</w:t>
            </w:r>
            <w:r w:rsidRPr="00AC39E9">
              <w:rPr>
                <w:rFonts w:ascii="Times New Roman" w:eastAsia="Times New Roman" w:hAnsi="Times New Roman" w:cs="Times New Roman"/>
                <w:kern w:val="0"/>
                <w:sz w:val="24"/>
                <w:szCs w:val="24"/>
              </w:rPr>
              <w:t>а</w:t>
            </w:r>
            <w:r w:rsidRPr="00AC39E9">
              <w:rPr>
                <w:rFonts w:ascii="Times New Roman" w:eastAsia="Times New Roman" w:hAnsi="Times New Roman" w:cs="Times New Roman"/>
                <w:kern w:val="0"/>
                <w:sz w:val="24"/>
                <w:szCs w:val="24"/>
              </w:rPr>
              <w:t>ция, заявени за подпомагане след 01.01.2018г</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w:t>
            </w:r>
          </w:p>
          <w:p w:rsidR="00AC39E9" w:rsidRPr="00AC39E9" w:rsidRDefault="00AC39E9" w:rsidP="00AC39E9">
            <w:pPr>
              <w:widowControl/>
              <w:suppressAutoHyphens w:val="0"/>
              <w:autoSpaceDN/>
              <w:spacing w:before="120" w:after="100" w:line="240" w:lineRule="auto"/>
              <w:jc w:val="both"/>
              <w:textAlignment w:val="auto"/>
              <w:rPr>
                <w:rFonts w:ascii="Times New Roman" w:eastAsia="Times New Roman" w:hAnsi="Times New Roman" w:cs="Times New Roman"/>
                <w:kern w:val="0"/>
                <w:sz w:val="24"/>
                <w:szCs w:val="20"/>
              </w:rPr>
            </w:pPr>
          </w:p>
        </w:tc>
      </w:tr>
    </w:tbl>
    <w:p w:rsidR="00AC39E9" w:rsidRPr="00AC39E9" w:rsidRDefault="00AC39E9" w:rsidP="00AC39E9">
      <w:pPr>
        <w:keepNext/>
        <w:widowControl/>
        <w:tabs>
          <w:tab w:val="left" w:pos="567"/>
        </w:tabs>
        <w:suppressAutoHyphens w:val="0"/>
        <w:autoSpaceDN/>
        <w:spacing w:before="240" w:after="240" w:line="240" w:lineRule="auto"/>
        <w:ind w:left="720" w:hanging="360"/>
        <w:textAlignment w:val="auto"/>
        <w:outlineLvl w:val="2"/>
        <w:rPr>
          <w:rFonts w:ascii="Times New Roman" w:eastAsia="Times New Roman" w:hAnsi="Times New Roman" w:cs="Times New Roman"/>
          <w:i/>
          <w:color w:val="000000"/>
          <w:kern w:val="0"/>
          <w:sz w:val="24"/>
          <w:szCs w:val="20"/>
        </w:rPr>
      </w:pPr>
      <w:r w:rsidRPr="00AC39E9">
        <w:rPr>
          <w:rFonts w:ascii="Times New Roman" w:eastAsia="Times New Roman" w:hAnsi="Times New Roman" w:cs="Times New Roman"/>
          <w:i/>
          <w:color w:val="000000"/>
          <w:kern w:val="0"/>
          <w:sz w:val="24"/>
          <w:szCs w:val="20"/>
        </w:rPr>
        <w:lastRenderedPageBreak/>
        <w:t xml:space="preserve">По отношение на мярка 12 </w:t>
      </w:r>
      <w:r w:rsidRPr="00AC39E9">
        <w:rPr>
          <w:rFonts w:ascii="Times New Roman" w:eastAsia="Times New Roman" w:hAnsi="Times New Roman" w:cs="Times New Roman"/>
          <w:i/>
          <w:color w:val="000000"/>
          <w:kern w:val="0"/>
          <w:sz w:val="24"/>
          <w:szCs w:val="20"/>
          <w:lang w:val="fr-BE"/>
        </w:rPr>
        <w:t>Плащания по „Натура 2000“ и Рамковата директива за водите</w:t>
      </w:r>
    </w:p>
    <w:p w:rsidR="00AC39E9" w:rsidRPr="00AC39E9" w:rsidRDefault="00AC39E9" w:rsidP="00AC39E9">
      <w:pPr>
        <w:widowControl/>
        <w:suppressAutoHyphens w:val="0"/>
        <w:autoSpaceDN/>
        <w:spacing w:before="120" w:after="120" w:line="240" w:lineRule="auto"/>
        <w:ind w:firstLine="142"/>
        <w:jc w:val="both"/>
        <w:textAlignment w:val="auto"/>
        <w:rPr>
          <w:rFonts w:ascii="Times New Roman" w:eastAsia="Times New Roman" w:hAnsi="Times New Roman" w:cs="Times New Roman"/>
          <w:i/>
          <w:kern w:val="0"/>
          <w:sz w:val="24"/>
          <w:szCs w:val="20"/>
          <w:lang w:val="en-GB"/>
        </w:rPr>
      </w:pPr>
      <w:r w:rsidRPr="00AC39E9">
        <w:rPr>
          <w:rFonts w:ascii="Times New Roman" w:eastAsia="Times New Roman" w:hAnsi="Times New Roman" w:cs="Times New Roman"/>
          <w:i/>
          <w:kern w:val="0"/>
          <w:sz w:val="24"/>
          <w:szCs w:val="20"/>
        </w:rPr>
        <w:t xml:space="preserve">11.В точка 8.2.10.3.1.8 </w:t>
      </w:r>
      <w:r w:rsidRPr="00AC39E9">
        <w:rPr>
          <w:rFonts w:ascii="Times New Roman" w:eastAsia="Times New Roman" w:hAnsi="Times New Roman" w:cs="Times New Roman"/>
          <w:i/>
          <w:kern w:val="0"/>
          <w:sz w:val="24"/>
          <w:szCs w:val="20"/>
          <w:lang w:val="en-GB"/>
        </w:rPr>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45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Калкулираните плащания за режимите и забраните за земеделски дейности, разписани в одо</w:t>
            </w:r>
            <w:r w:rsidRPr="00AC39E9">
              <w:rPr>
                <w:rFonts w:ascii="Times New Roman" w:eastAsia="Times New Roman" w:hAnsi="Times New Roman" w:cs="Times New Roman"/>
                <w:kern w:val="0"/>
                <w:sz w:val="24"/>
                <w:szCs w:val="24"/>
              </w:rPr>
              <w:t>б</w:t>
            </w:r>
            <w:r w:rsidRPr="00AC39E9">
              <w:rPr>
                <w:rFonts w:ascii="Times New Roman" w:eastAsia="Times New Roman" w:hAnsi="Times New Roman" w:cs="Times New Roman"/>
                <w:kern w:val="0"/>
                <w:sz w:val="24"/>
                <w:szCs w:val="24"/>
              </w:rPr>
              <w:t>рените заповеди за обявяване/планове за управление на защитените зони се изчисляват инд</w:t>
            </w:r>
            <w:r w:rsidRPr="00AC39E9">
              <w:rPr>
                <w:rFonts w:ascii="Times New Roman" w:eastAsia="Times New Roman" w:hAnsi="Times New Roman" w:cs="Times New Roman"/>
                <w:kern w:val="0"/>
                <w:sz w:val="24"/>
                <w:szCs w:val="24"/>
              </w:rPr>
              <w:t>и</w:t>
            </w:r>
            <w:r w:rsidRPr="00AC39E9">
              <w:rPr>
                <w:rFonts w:ascii="Times New Roman" w:eastAsia="Times New Roman" w:hAnsi="Times New Roman" w:cs="Times New Roman"/>
                <w:kern w:val="0"/>
                <w:sz w:val="24"/>
                <w:szCs w:val="24"/>
              </w:rPr>
              <w:t>видуално за всяка зона.</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Нивата за подпомагане са представени в Приложение №13.  Във връзка с въведените промени след 01.01.2018 г., свързани със задължението от изчислените нива на подпомагане да бъде приспадната сума необходима за изключване на двойно финансиране на практики в чл.43 от Регламент 1307/2013, която представлява фиксирана средна сума е изчислено средно намал</w:t>
            </w:r>
            <w:r w:rsidRPr="00AC39E9">
              <w:rPr>
                <w:rFonts w:ascii="Times New Roman" w:eastAsia="Times New Roman" w:hAnsi="Times New Roman" w:cs="Times New Roman"/>
                <w:kern w:val="0"/>
                <w:sz w:val="24"/>
                <w:szCs w:val="24"/>
              </w:rPr>
              <w:t>е</w:t>
            </w:r>
            <w:r w:rsidRPr="00AC39E9">
              <w:rPr>
                <w:rFonts w:ascii="Times New Roman" w:eastAsia="Times New Roman" w:hAnsi="Times New Roman" w:cs="Times New Roman"/>
                <w:kern w:val="0"/>
                <w:sz w:val="24"/>
                <w:szCs w:val="24"/>
              </w:rPr>
              <w:t>ние на компенсаторното плащане за всички зони в страната в частта обработваеми (орна) земи в размер  на 2 евро/ха. Направените изчисления включват изваждането от премията на призн</w:t>
            </w:r>
            <w:r w:rsidRPr="00AC39E9">
              <w:rPr>
                <w:rFonts w:ascii="Times New Roman" w:eastAsia="Times New Roman" w:hAnsi="Times New Roman" w:cs="Times New Roman"/>
                <w:kern w:val="0"/>
                <w:sz w:val="24"/>
                <w:szCs w:val="24"/>
              </w:rPr>
              <w:t>а</w:t>
            </w:r>
            <w:r w:rsidRPr="00AC39E9">
              <w:rPr>
                <w:rFonts w:ascii="Times New Roman" w:eastAsia="Times New Roman" w:hAnsi="Times New Roman" w:cs="Times New Roman"/>
                <w:kern w:val="0"/>
                <w:sz w:val="24"/>
                <w:szCs w:val="24"/>
              </w:rPr>
              <w:t>тите до влизането на промените по I стълб разходи за растителна защита. В останалите групи – постоянно-затревени площи и трайни насаждения не се налагат корекции и промени в на</w:t>
            </w:r>
            <w:r w:rsidRPr="00AC39E9">
              <w:rPr>
                <w:rFonts w:ascii="Times New Roman" w:eastAsia="Times New Roman" w:hAnsi="Times New Roman" w:cs="Times New Roman"/>
                <w:kern w:val="0"/>
                <w:sz w:val="24"/>
                <w:szCs w:val="24"/>
              </w:rPr>
              <w:t>с</w:t>
            </w:r>
            <w:r w:rsidRPr="00AC39E9">
              <w:rPr>
                <w:rFonts w:ascii="Times New Roman" w:eastAsia="Times New Roman" w:hAnsi="Times New Roman" w:cs="Times New Roman"/>
                <w:kern w:val="0"/>
                <w:sz w:val="24"/>
                <w:szCs w:val="24"/>
              </w:rPr>
              <w:t>тоящите ставки не са правени.</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AC39E9" w:rsidRPr="00AC39E9" w:rsidRDefault="00AC39E9" w:rsidP="00AC39E9">
      <w:pPr>
        <w:widowControl/>
        <w:suppressAutoHyphens w:val="0"/>
        <w:autoSpaceDN/>
        <w:spacing w:before="120" w:after="120" w:line="240" w:lineRule="auto"/>
        <w:ind w:firstLine="720"/>
        <w:jc w:val="both"/>
        <w:textAlignment w:val="auto"/>
        <w:rPr>
          <w:rFonts w:ascii="Times New Roman" w:eastAsia="Times New Roman" w:hAnsi="Times New Roman" w:cs="Times New Roman"/>
          <w:kern w:val="0"/>
          <w:sz w:val="24"/>
          <w:szCs w:val="20"/>
        </w:rPr>
      </w:pPr>
      <w:r w:rsidRPr="00AC39E9">
        <w:rPr>
          <w:rFonts w:ascii="Times New Roman" w:eastAsia="Times New Roman" w:hAnsi="Times New Roman" w:cs="Times New Roman"/>
          <w:kern w:val="0"/>
          <w:sz w:val="24"/>
          <w:szCs w:val="20"/>
        </w:rPr>
        <w:t>12. В точка 8.2.10.3.1.10 в частта описваща методологията за изчисленията на размер</w:t>
      </w:r>
      <w:r w:rsidRPr="00AC39E9">
        <w:rPr>
          <w:rFonts w:ascii="Times New Roman" w:eastAsia="Times New Roman" w:hAnsi="Times New Roman" w:cs="Times New Roman"/>
          <w:kern w:val="0"/>
          <w:sz w:val="24"/>
          <w:szCs w:val="20"/>
        </w:rPr>
        <w:t>и</w:t>
      </w:r>
      <w:r w:rsidRPr="00AC39E9">
        <w:rPr>
          <w:rFonts w:ascii="Times New Roman" w:eastAsia="Times New Roman" w:hAnsi="Times New Roman" w:cs="Times New Roman"/>
          <w:kern w:val="0"/>
          <w:sz w:val="24"/>
          <w:szCs w:val="20"/>
        </w:rPr>
        <w:t>те на финансово подпомагане се добавя текста:</w:t>
      </w:r>
    </w:p>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AC39E9" w:rsidRPr="00AC39E9" w:rsidTr="00A54518">
        <w:tc>
          <w:tcPr>
            <w:tcW w:w="450" w:type="pct"/>
            <w:shd w:val="clear" w:color="auto" w:fill="auto"/>
            <w:tcMar>
              <w:top w:w="20" w:type="dxa"/>
              <w:bottom w:w="20" w:type="dxa"/>
            </w:tcMar>
            <w:vAlign w:val="center"/>
          </w:tcPr>
          <w:p w:rsidR="00AC39E9" w:rsidRPr="00AC39E9" w:rsidRDefault="00AC39E9" w:rsidP="00AC39E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b/>
                <w:bCs/>
                <w:kern w:val="0"/>
                <w:sz w:val="24"/>
                <w:szCs w:val="24"/>
              </w:rPr>
              <w:t>В разработването на методологията са участвали проф. д-р Тотка Трифонова (ИПАЗР "Никола Пушкаров"), доц. д-р Диляна Митова, доц. д-р Божидар Иванов (ИАИ);</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Обхватът на Подмярка 12.1. включва всички земеделски земи, попадащи в обхвата на защит</w:t>
            </w:r>
            <w:r w:rsidRPr="00AC39E9">
              <w:rPr>
                <w:rFonts w:ascii="Times New Roman" w:eastAsia="Times New Roman" w:hAnsi="Times New Roman" w:cs="Times New Roman"/>
                <w:kern w:val="0"/>
                <w:sz w:val="24"/>
                <w:szCs w:val="24"/>
              </w:rPr>
              <w:t>е</w:t>
            </w:r>
            <w:r w:rsidRPr="00AC39E9">
              <w:rPr>
                <w:rFonts w:ascii="Times New Roman" w:eastAsia="Times New Roman" w:hAnsi="Times New Roman" w:cs="Times New Roman"/>
                <w:kern w:val="0"/>
                <w:sz w:val="24"/>
                <w:szCs w:val="24"/>
              </w:rPr>
              <w:t>ните зони по Натура 2000 за които са издадени заповеди за обявяването им, с разписани кон</w:t>
            </w:r>
            <w:r w:rsidRPr="00AC39E9">
              <w:rPr>
                <w:rFonts w:ascii="Times New Roman" w:eastAsia="Times New Roman" w:hAnsi="Times New Roman" w:cs="Times New Roman"/>
                <w:kern w:val="0"/>
                <w:sz w:val="24"/>
                <w:szCs w:val="24"/>
              </w:rPr>
              <w:t>к</w:t>
            </w:r>
            <w:r w:rsidRPr="00AC39E9">
              <w:rPr>
                <w:rFonts w:ascii="Times New Roman" w:eastAsia="Times New Roman" w:hAnsi="Times New Roman" w:cs="Times New Roman"/>
                <w:kern w:val="0"/>
                <w:sz w:val="24"/>
                <w:szCs w:val="24"/>
              </w:rPr>
              <w:t>ретни режими/ограничения/забрани за земеделски дейности. Подпомагането се предоставя под формата на годишни плащания на хектар земеделска земя за компенсиране на наложени режими/ограничения/ забрани за земеделски дейности включени в заповедта за обявяване на съответна зона от Натура 2000.</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Съгласно Регламент (ЕС) № 1305/ 2013 и разписания фиш на мярка 12.1, критериите за допу</w:t>
            </w:r>
            <w:r w:rsidRPr="00AC39E9">
              <w:rPr>
                <w:rFonts w:ascii="Times New Roman" w:eastAsia="Times New Roman" w:hAnsi="Times New Roman" w:cs="Times New Roman"/>
                <w:kern w:val="0"/>
                <w:sz w:val="24"/>
                <w:szCs w:val="24"/>
              </w:rPr>
              <w:t>с</w:t>
            </w:r>
            <w:r w:rsidRPr="00AC39E9">
              <w:rPr>
                <w:rFonts w:ascii="Times New Roman" w:eastAsia="Times New Roman" w:hAnsi="Times New Roman" w:cs="Times New Roman"/>
                <w:kern w:val="0"/>
                <w:sz w:val="24"/>
                <w:szCs w:val="24"/>
              </w:rPr>
              <w:t>тимост са както следва: минимален размер - 0,3 хектара земеделска земя с размер на парцела минимум 0,1 ха.</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Земеделските стопани получават компенсаторно плащане за направените разходи и претърп</w:t>
            </w:r>
            <w:r w:rsidRPr="00AC39E9">
              <w:rPr>
                <w:rFonts w:ascii="Times New Roman" w:eastAsia="Times New Roman" w:hAnsi="Times New Roman" w:cs="Times New Roman"/>
                <w:kern w:val="0"/>
                <w:sz w:val="24"/>
                <w:szCs w:val="24"/>
              </w:rPr>
              <w:t>е</w:t>
            </w:r>
            <w:r w:rsidRPr="00AC39E9">
              <w:rPr>
                <w:rFonts w:ascii="Times New Roman" w:eastAsia="Times New Roman" w:hAnsi="Times New Roman" w:cs="Times New Roman"/>
                <w:kern w:val="0"/>
                <w:sz w:val="24"/>
                <w:szCs w:val="24"/>
              </w:rPr>
              <w:t>ните загуби при изпълнение на посочените дейности (забрани и ограничения).</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b/>
                <w:bCs/>
                <w:kern w:val="0"/>
                <w:sz w:val="24"/>
                <w:szCs w:val="24"/>
              </w:rPr>
              <w:t xml:space="preserve">Максималният размер на плащане за хектар земеделска земя за година е 200 евро/ха, съгласно Приложение II на Регламент( EC) № 1305/2013. </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 xml:space="preserve"> Ще се компенсират </w:t>
            </w:r>
            <w:r w:rsidRPr="00AC39E9">
              <w:rPr>
                <w:rFonts w:ascii="Times New Roman" w:eastAsia="Times New Roman" w:hAnsi="Times New Roman" w:cs="Times New Roman"/>
                <w:b/>
                <w:bCs/>
                <w:kern w:val="0"/>
                <w:sz w:val="24"/>
                <w:szCs w:val="24"/>
              </w:rPr>
              <w:t>6 на брой забрани</w:t>
            </w:r>
            <w:r w:rsidRPr="00AC39E9">
              <w:rPr>
                <w:rFonts w:ascii="Times New Roman" w:eastAsia="Times New Roman" w:hAnsi="Times New Roman" w:cs="Times New Roman"/>
                <w:kern w:val="0"/>
                <w:sz w:val="24"/>
                <w:szCs w:val="24"/>
              </w:rPr>
              <w:t> за селскостопанска дейност. Забраните под номера</w:t>
            </w:r>
            <w:r w:rsidRPr="00AC39E9">
              <w:rPr>
                <w:rFonts w:ascii="Times New Roman" w:eastAsia="Times New Roman" w:hAnsi="Times New Roman" w:cs="Times New Roman"/>
                <w:b/>
                <w:bCs/>
                <w:kern w:val="0"/>
                <w:sz w:val="24"/>
                <w:szCs w:val="24"/>
              </w:rPr>
              <w:t xml:space="preserve"> 4, 11, 8, 9, 10  </w:t>
            </w:r>
            <w:r w:rsidRPr="00AC39E9">
              <w:rPr>
                <w:rFonts w:ascii="Times New Roman" w:eastAsia="Times New Roman" w:hAnsi="Times New Roman" w:cs="Times New Roman"/>
                <w:kern w:val="0"/>
                <w:sz w:val="24"/>
                <w:szCs w:val="24"/>
              </w:rPr>
              <w:t xml:space="preserve">няма да се компенсират по мярка 12, тъй като в Регламент 1307 за директните плащания, с </w:t>
            </w:r>
            <w:r w:rsidRPr="00AC39E9">
              <w:rPr>
                <w:rFonts w:ascii="Times New Roman" w:eastAsia="Times New Roman" w:hAnsi="Times New Roman" w:cs="Times New Roman"/>
                <w:b/>
                <w:bCs/>
                <w:kern w:val="0"/>
                <w:sz w:val="24"/>
                <w:szCs w:val="24"/>
              </w:rPr>
              <w:t>цел да се избегне двойното финансиране (с I</w:t>
            </w:r>
            <w:r w:rsidRPr="00AC39E9">
              <w:rPr>
                <w:rFonts w:ascii="Times New Roman" w:eastAsia="Times New Roman" w:hAnsi="Times New Roman" w:cs="Times New Roman"/>
                <w:kern w:val="0"/>
                <w:sz w:val="24"/>
                <w:szCs w:val="24"/>
              </w:rPr>
              <w:t xml:space="preserve"> </w:t>
            </w:r>
            <w:r w:rsidRPr="00AC39E9">
              <w:rPr>
                <w:rFonts w:ascii="Times New Roman" w:eastAsia="Times New Roman" w:hAnsi="Times New Roman" w:cs="Times New Roman"/>
                <w:b/>
                <w:bCs/>
                <w:kern w:val="0"/>
                <w:sz w:val="24"/>
                <w:szCs w:val="24"/>
              </w:rPr>
              <w:t>стълб)</w:t>
            </w:r>
            <w:r w:rsidRPr="00AC39E9">
              <w:rPr>
                <w:rFonts w:ascii="Times New Roman" w:eastAsia="Times New Roman" w:hAnsi="Times New Roman" w:cs="Times New Roman"/>
                <w:kern w:val="0"/>
                <w:sz w:val="24"/>
                <w:szCs w:val="24"/>
              </w:rPr>
              <w:t xml:space="preserve"> изрично е записано, че се избягва разораването на пасища и постоянно затревени площи в екологично чувствителни з</w:t>
            </w:r>
            <w:r w:rsidRPr="00AC39E9">
              <w:rPr>
                <w:rFonts w:ascii="Times New Roman" w:eastAsia="Times New Roman" w:hAnsi="Times New Roman" w:cs="Times New Roman"/>
                <w:kern w:val="0"/>
                <w:sz w:val="24"/>
                <w:szCs w:val="24"/>
              </w:rPr>
              <w:t>о</w:t>
            </w:r>
            <w:r w:rsidRPr="00AC39E9">
              <w:rPr>
                <w:rFonts w:ascii="Times New Roman" w:eastAsia="Times New Roman" w:hAnsi="Times New Roman" w:cs="Times New Roman"/>
                <w:kern w:val="0"/>
                <w:sz w:val="24"/>
                <w:szCs w:val="24"/>
              </w:rPr>
              <w:t>ни.</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AC39E9">
              <w:rPr>
                <w:rFonts w:ascii="Times New Roman" w:eastAsia="Times New Roman" w:hAnsi="Times New Roman" w:cs="Times New Roman"/>
                <w:kern w:val="0"/>
                <w:sz w:val="24"/>
                <w:szCs w:val="24"/>
              </w:rPr>
              <w:t>Размерът на компенсаторното плащане се изчислява чрез алгоритъм, който се базира на опр</w:t>
            </w:r>
            <w:r w:rsidRPr="00AC39E9">
              <w:rPr>
                <w:rFonts w:ascii="Times New Roman" w:eastAsia="Times New Roman" w:hAnsi="Times New Roman" w:cs="Times New Roman"/>
                <w:kern w:val="0"/>
                <w:sz w:val="24"/>
                <w:szCs w:val="24"/>
              </w:rPr>
              <w:t>е</w:t>
            </w:r>
            <w:r w:rsidRPr="00AC39E9">
              <w:rPr>
                <w:rFonts w:ascii="Times New Roman" w:eastAsia="Times New Roman" w:hAnsi="Times New Roman" w:cs="Times New Roman"/>
                <w:kern w:val="0"/>
                <w:sz w:val="24"/>
                <w:szCs w:val="24"/>
              </w:rPr>
              <w:t>деляне на пропуснатите ползи и допълнителните разходи, за земеделските стопани и/или др</w:t>
            </w:r>
            <w:r w:rsidRPr="00AC39E9">
              <w:rPr>
                <w:rFonts w:ascii="Times New Roman" w:eastAsia="Times New Roman" w:hAnsi="Times New Roman" w:cs="Times New Roman"/>
                <w:kern w:val="0"/>
                <w:sz w:val="24"/>
                <w:szCs w:val="24"/>
              </w:rPr>
              <w:t>у</w:t>
            </w:r>
            <w:r w:rsidRPr="00AC39E9">
              <w:rPr>
                <w:rFonts w:ascii="Times New Roman" w:eastAsia="Times New Roman" w:hAnsi="Times New Roman" w:cs="Times New Roman"/>
                <w:kern w:val="0"/>
                <w:sz w:val="24"/>
                <w:szCs w:val="24"/>
              </w:rPr>
              <w:t>гите разрешени от закона стопанисващи земеделските площи в съответните райони, вследс</w:t>
            </w:r>
            <w:r w:rsidRPr="00AC39E9">
              <w:rPr>
                <w:rFonts w:ascii="Times New Roman" w:eastAsia="Times New Roman" w:hAnsi="Times New Roman" w:cs="Times New Roman"/>
                <w:kern w:val="0"/>
                <w:sz w:val="24"/>
                <w:szCs w:val="24"/>
              </w:rPr>
              <w:t>т</w:t>
            </w:r>
            <w:r w:rsidRPr="00AC39E9">
              <w:rPr>
                <w:rFonts w:ascii="Times New Roman" w:eastAsia="Times New Roman" w:hAnsi="Times New Roman" w:cs="Times New Roman"/>
                <w:kern w:val="0"/>
                <w:sz w:val="24"/>
                <w:szCs w:val="24"/>
              </w:rPr>
              <w:t>вие на спазване на разписаните забрани и ограничения. Взети са в предвид и спестените ра</w:t>
            </w:r>
            <w:r w:rsidRPr="00AC39E9">
              <w:rPr>
                <w:rFonts w:ascii="Times New Roman" w:eastAsia="Times New Roman" w:hAnsi="Times New Roman" w:cs="Times New Roman"/>
                <w:kern w:val="0"/>
                <w:sz w:val="24"/>
                <w:szCs w:val="24"/>
              </w:rPr>
              <w:t>з</w:t>
            </w:r>
            <w:r w:rsidRPr="00AC39E9">
              <w:rPr>
                <w:rFonts w:ascii="Times New Roman" w:eastAsia="Times New Roman" w:hAnsi="Times New Roman" w:cs="Times New Roman"/>
                <w:kern w:val="0"/>
                <w:sz w:val="24"/>
                <w:szCs w:val="24"/>
              </w:rPr>
              <w:t>ходи и загубите вследствие не-извършването на определени дейности поради разписаните забрани и ограничения.</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4"/>
                <w:lang w:val="en-US"/>
              </w:rPr>
            </w:pPr>
            <w:r w:rsidRPr="00AC39E9">
              <w:rPr>
                <w:rFonts w:ascii="Times New Roman" w:eastAsia="Times New Roman" w:hAnsi="Times New Roman" w:cs="Times New Roman"/>
                <w:kern w:val="0"/>
                <w:sz w:val="24"/>
                <w:szCs w:val="24"/>
              </w:rPr>
              <w:t>Във връзка с влязла в сила от 01.01.2018 г. забрана за използване на препарати за растителна защита при прилагане на практики по чл. 43 от Регламент 1307/2013 г. е извършен анализ на необходимостта от преразглеждане на нивата на подпомагане по мярката с оглед на избягване на риск от двойно финансиране. За част от дейностите е предвидено намаление на размера на подпомагане с фиксирана средна сума, което е приложимо към всички обработваеми площи, заявени за подпомагане след 01.01.2018 г. и отразява намалените разходи/пропуснати ползи спрямо първоначалните изчисления на размера на подпомагане, отчитайки частта на обрабо</w:t>
            </w:r>
            <w:r w:rsidRPr="00AC39E9">
              <w:rPr>
                <w:rFonts w:ascii="Times New Roman" w:eastAsia="Times New Roman" w:hAnsi="Times New Roman" w:cs="Times New Roman"/>
                <w:kern w:val="0"/>
                <w:sz w:val="24"/>
                <w:szCs w:val="24"/>
              </w:rPr>
              <w:t>т</w:t>
            </w:r>
            <w:r w:rsidRPr="00AC39E9">
              <w:rPr>
                <w:rFonts w:ascii="Times New Roman" w:eastAsia="Times New Roman" w:hAnsi="Times New Roman" w:cs="Times New Roman"/>
                <w:kern w:val="0"/>
                <w:sz w:val="24"/>
                <w:szCs w:val="24"/>
              </w:rPr>
              <w:t>ваемите площи, за които е в сила забраната за използване на ПРЗ.</w:t>
            </w:r>
          </w:p>
          <w:p w:rsidR="00AC39E9" w:rsidRPr="00AC39E9" w:rsidRDefault="00AC39E9" w:rsidP="00AC39E9">
            <w:pPr>
              <w:widowControl/>
              <w:suppressAutoHyphens w:val="0"/>
              <w:autoSpaceDN/>
              <w:spacing w:before="240" w:after="240" w:line="240" w:lineRule="auto"/>
              <w:textAlignment w:val="auto"/>
              <w:rPr>
                <w:rFonts w:ascii="Times New Roman" w:eastAsia="Times New Roman" w:hAnsi="Times New Roman" w:cs="Times New Roman"/>
                <w:kern w:val="0"/>
                <w:sz w:val="24"/>
                <w:szCs w:val="20"/>
              </w:rPr>
            </w:pPr>
            <w:r w:rsidRPr="00AC39E9">
              <w:rPr>
                <w:rFonts w:ascii="Times New Roman" w:eastAsia="Times New Roman" w:hAnsi="Times New Roman" w:cs="Times New Roman"/>
                <w:kern w:val="0"/>
                <w:sz w:val="24"/>
                <w:szCs w:val="24"/>
              </w:rPr>
              <w:t>……………………………………………………….</w:t>
            </w:r>
          </w:p>
        </w:tc>
      </w:tr>
    </w:tbl>
    <w:p w:rsidR="00AC39E9" w:rsidRPr="00AC39E9" w:rsidRDefault="00AC39E9" w:rsidP="00AC39E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p w:rsidR="004B42FF" w:rsidRDefault="004B42FF" w:rsidP="004B42FF">
      <w:pPr>
        <w:pStyle w:val="Standard"/>
        <w:ind w:left="426"/>
        <w:jc w:val="right"/>
      </w:pPr>
      <w:r>
        <w:rPr>
          <w:b/>
          <w:i/>
        </w:rPr>
        <w:t>Приложение № 5</w:t>
      </w:r>
    </w:p>
    <w:p w:rsidR="00BD3E0A" w:rsidRDefault="00BD3E0A" w:rsidP="004B42FF">
      <w:pPr>
        <w:pStyle w:val="Standard"/>
        <w:ind w:left="426"/>
        <w:jc w:val="right"/>
        <w:rPr>
          <w:b/>
        </w:rPr>
      </w:pPr>
    </w:p>
    <w:p w:rsidR="004B42FF" w:rsidRPr="004B42FF" w:rsidRDefault="004B42FF" w:rsidP="004B42FF">
      <w:pPr>
        <w:widowControl/>
        <w:suppressAutoHyphens w:val="0"/>
        <w:autoSpaceDN/>
        <w:ind w:firstLine="720"/>
        <w:jc w:val="center"/>
        <w:textAlignment w:val="auto"/>
        <w:rPr>
          <w:rFonts w:ascii="Times New Roman" w:eastAsiaTheme="minorHAnsi" w:hAnsi="Times New Roman" w:cs="Times New Roman"/>
          <w:kern w:val="0"/>
          <w:sz w:val="24"/>
          <w:szCs w:val="24"/>
          <w:u w:val="single"/>
        </w:rPr>
      </w:pPr>
      <w:r w:rsidRPr="004B42FF">
        <w:rPr>
          <w:rFonts w:ascii="Times New Roman" w:eastAsiaTheme="minorHAnsi" w:hAnsi="Times New Roman" w:cs="Times New Roman"/>
          <w:kern w:val="0"/>
          <w:sz w:val="24"/>
          <w:szCs w:val="24"/>
          <w:u w:val="single"/>
        </w:rPr>
        <w:t>Т.3.6  Представяне на използвана методология при предефиниране на райони с приро</w:t>
      </w:r>
      <w:r w:rsidRPr="004B42FF">
        <w:rPr>
          <w:rFonts w:ascii="Times New Roman" w:eastAsiaTheme="minorHAnsi" w:hAnsi="Times New Roman" w:cs="Times New Roman"/>
          <w:kern w:val="0"/>
          <w:sz w:val="24"/>
          <w:szCs w:val="24"/>
          <w:u w:val="single"/>
        </w:rPr>
        <w:t>д</w:t>
      </w:r>
      <w:r w:rsidRPr="004B42FF">
        <w:rPr>
          <w:rFonts w:ascii="Times New Roman" w:eastAsiaTheme="minorHAnsi" w:hAnsi="Times New Roman" w:cs="Times New Roman"/>
          <w:kern w:val="0"/>
          <w:sz w:val="24"/>
          <w:szCs w:val="24"/>
          <w:u w:val="single"/>
        </w:rPr>
        <w:t>ни ограничения, различни от планинските от мярка 13 „Плащания за райони с природни или други специфични ограничения“</w:t>
      </w:r>
    </w:p>
    <w:p w:rsidR="004B42FF" w:rsidRPr="004B42FF" w:rsidRDefault="004B42FF" w:rsidP="004B42FF">
      <w:pPr>
        <w:widowControl/>
        <w:suppressAutoHyphens w:val="0"/>
        <w:autoSpaceDN/>
        <w:ind w:firstLine="720"/>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На основание чл. 32 от Регламент 1305/2013 държавите членки следва да определят р</w:t>
      </w:r>
      <w:r w:rsidRPr="004B42FF">
        <w:rPr>
          <w:rFonts w:ascii="Times New Roman" w:eastAsiaTheme="minorHAnsi" w:hAnsi="Times New Roman" w:cs="Times New Roman"/>
          <w:kern w:val="0"/>
          <w:sz w:val="24"/>
          <w:szCs w:val="24"/>
        </w:rPr>
        <w:t>а</w:t>
      </w:r>
      <w:r w:rsidRPr="004B42FF">
        <w:rPr>
          <w:rFonts w:ascii="Times New Roman" w:eastAsiaTheme="minorHAnsi" w:hAnsi="Times New Roman" w:cs="Times New Roman"/>
          <w:kern w:val="0"/>
          <w:sz w:val="24"/>
          <w:szCs w:val="24"/>
        </w:rPr>
        <w:t xml:space="preserve">йони с природни ограничения, различни от планинските, като процесът обхваща два етапа – </w:t>
      </w:r>
      <w:r w:rsidRPr="004B42FF">
        <w:rPr>
          <w:rFonts w:ascii="Times New Roman" w:eastAsiaTheme="minorHAnsi" w:hAnsi="Times New Roman" w:cs="Times New Roman"/>
          <w:kern w:val="0"/>
          <w:sz w:val="24"/>
          <w:szCs w:val="24"/>
        </w:rPr>
        <w:lastRenderedPageBreak/>
        <w:t>определяне на районите на база приложими за съответната държава членка биофизични кр</w:t>
      </w:r>
      <w:r w:rsidRPr="004B42FF">
        <w:rPr>
          <w:rFonts w:ascii="Times New Roman" w:eastAsiaTheme="minorHAnsi" w:hAnsi="Times New Roman" w:cs="Times New Roman"/>
          <w:kern w:val="0"/>
          <w:sz w:val="24"/>
          <w:szCs w:val="24"/>
        </w:rPr>
        <w:t>и</w:t>
      </w:r>
      <w:r w:rsidRPr="004B42FF">
        <w:rPr>
          <w:rFonts w:ascii="Times New Roman" w:eastAsiaTheme="minorHAnsi" w:hAnsi="Times New Roman" w:cs="Times New Roman"/>
          <w:kern w:val="0"/>
          <w:sz w:val="24"/>
          <w:szCs w:val="24"/>
        </w:rPr>
        <w:t xml:space="preserve">терии, изброени в Приложение </w:t>
      </w:r>
      <w:r w:rsidRPr="004B42FF">
        <w:rPr>
          <w:rFonts w:ascii="Times New Roman" w:eastAsiaTheme="minorHAnsi" w:hAnsi="Times New Roman" w:cs="Times New Roman"/>
          <w:kern w:val="0"/>
          <w:sz w:val="24"/>
          <w:szCs w:val="24"/>
          <w:lang w:val="en-US"/>
        </w:rPr>
        <w:t xml:space="preserve">III </w:t>
      </w:r>
      <w:r w:rsidRPr="004B42FF">
        <w:rPr>
          <w:rFonts w:ascii="Times New Roman" w:eastAsiaTheme="minorHAnsi" w:hAnsi="Times New Roman" w:cs="Times New Roman"/>
          <w:kern w:val="0"/>
          <w:sz w:val="24"/>
          <w:szCs w:val="24"/>
        </w:rPr>
        <w:t>на регламента и допълнително прецизиране с цел изклю</w:t>
      </w:r>
      <w:r w:rsidRPr="004B42FF">
        <w:rPr>
          <w:rFonts w:ascii="Times New Roman" w:eastAsiaTheme="minorHAnsi" w:hAnsi="Times New Roman" w:cs="Times New Roman"/>
          <w:kern w:val="0"/>
          <w:sz w:val="24"/>
          <w:szCs w:val="24"/>
        </w:rPr>
        <w:t>ч</w:t>
      </w:r>
      <w:r w:rsidRPr="004B42FF">
        <w:rPr>
          <w:rFonts w:ascii="Times New Roman" w:eastAsiaTheme="minorHAnsi" w:hAnsi="Times New Roman" w:cs="Times New Roman"/>
          <w:kern w:val="0"/>
          <w:sz w:val="24"/>
          <w:szCs w:val="24"/>
        </w:rPr>
        <w:t>ване на райони, в които са отчетени природни ограничения, но те са преодолени чрез инвест</w:t>
      </w:r>
      <w:r w:rsidRPr="004B42FF">
        <w:rPr>
          <w:rFonts w:ascii="Times New Roman" w:eastAsiaTheme="minorHAnsi" w:hAnsi="Times New Roman" w:cs="Times New Roman"/>
          <w:kern w:val="0"/>
          <w:sz w:val="24"/>
          <w:szCs w:val="24"/>
        </w:rPr>
        <w:t>и</w:t>
      </w:r>
      <w:r w:rsidRPr="004B42FF">
        <w:rPr>
          <w:rFonts w:ascii="Times New Roman" w:eastAsiaTheme="minorHAnsi" w:hAnsi="Times New Roman" w:cs="Times New Roman"/>
          <w:kern w:val="0"/>
          <w:sz w:val="24"/>
          <w:szCs w:val="24"/>
        </w:rPr>
        <w:t>ции, чрез стопанска дейност, или чрез доказателства за нормална производителност на земята, или чрез производствени методи или селскостопански системи.</w:t>
      </w:r>
    </w:p>
    <w:p w:rsidR="004B42FF" w:rsidRPr="004B42FF" w:rsidRDefault="004B42FF" w:rsidP="004B42FF">
      <w:pPr>
        <w:widowControl/>
        <w:suppressAutoHyphens w:val="0"/>
        <w:autoSpaceDN/>
        <w:ind w:firstLine="720"/>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На първия етап от дефинирането държавите прилагат приложимите за тях критерии, които са обособени в 3 групи – климат, почви и терен. Определянето на районите с природни ограничения, различни от планинските е извършено от научни организации в България, които притежават необходимите компетенции в съответната група, като по отношение на климати</w:t>
      </w:r>
      <w:r w:rsidRPr="004B42FF">
        <w:rPr>
          <w:rFonts w:ascii="Times New Roman" w:eastAsiaTheme="minorHAnsi" w:hAnsi="Times New Roman" w:cs="Times New Roman"/>
          <w:kern w:val="0"/>
          <w:sz w:val="24"/>
          <w:szCs w:val="24"/>
        </w:rPr>
        <w:t>ч</w:t>
      </w:r>
      <w:r w:rsidRPr="004B42FF">
        <w:rPr>
          <w:rFonts w:ascii="Times New Roman" w:eastAsiaTheme="minorHAnsi" w:hAnsi="Times New Roman" w:cs="Times New Roman"/>
          <w:kern w:val="0"/>
          <w:sz w:val="24"/>
          <w:szCs w:val="24"/>
        </w:rPr>
        <w:t>ните ограничения, за които в България е приложим критерия „сухота“, анализът и резултатите са предоставени от Националния институт по метеорология и хидрология (НИМХ). Данни за районите с почвени ограничения са анализирани и предоставени от Института по почвозн</w:t>
      </w:r>
      <w:r w:rsidRPr="004B42FF">
        <w:rPr>
          <w:rFonts w:ascii="Times New Roman" w:eastAsiaTheme="minorHAnsi" w:hAnsi="Times New Roman" w:cs="Times New Roman"/>
          <w:kern w:val="0"/>
          <w:sz w:val="24"/>
          <w:szCs w:val="24"/>
        </w:rPr>
        <w:t>а</w:t>
      </w:r>
      <w:r w:rsidRPr="004B42FF">
        <w:rPr>
          <w:rFonts w:ascii="Times New Roman" w:eastAsiaTheme="minorHAnsi" w:hAnsi="Times New Roman" w:cs="Times New Roman"/>
          <w:kern w:val="0"/>
          <w:sz w:val="24"/>
          <w:szCs w:val="24"/>
        </w:rPr>
        <w:t>ние, агротехнологии и защита на растенията „Никола Пушкаров". След извършения анализ от страна на института са предложени следните под-групи почвени ограничения, които са изпо</w:t>
      </w:r>
      <w:r w:rsidRPr="004B42FF">
        <w:rPr>
          <w:rFonts w:ascii="Times New Roman" w:eastAsiaTheme="minorHAnsi" w:hAnsi="Times New Roman" w:cs="Times New Roman"/>
          <w:kern w:val="0"/>
          <w:sz w:val="24"/>
          <w:szCs w:val="24"/>
        </w:rPr>
        <w:t>л</w:t>
      </w:r>
      <w:r w:rsidRPr="004B42FF">
        <w:rPr>
          <w:rFonts w:ascii="Times New Roman" w:eastAsiaTheme="minorHAnsi" w:hAnsi="Times New Roman" w:cs="Times New Roman"/>
          <w:kern w:val="0"/>
          <w:sz w:val="24"/>
          <w:szCs w:val="24"/>
        </w:rPr>
        <w:t>звани при определяне обхвата на районите в почвени ограничения:</w:t>
      </w:r>
    </w:p>
    <w:p w:rsidR="004B42FF" w:rsidRPr="004B42FF" w:rsidRDefault="004B42FF" w:rsidP="00386C69">
      <w:pPr>
        <w:widowControl/>
        <w:numPr>
          <w:ilvl w:val="0"/>
          <w:numId w:val="59"/>
        </w:numPr>
        <w:suppressAutoHyphens w:val="0"/>
        <w:autoSpaceDN/>
        <w:spacing w:line="240" w:lineRule="auto"/>
        <w:ind w:left="284" w:firstLine="425"/>
        <w:contextualSpacing/>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 xml:space="preserve">Недостатъчно отводняване на почвите </w:t>
      </w:r>
    </w:p>
    <w:p w:rsidR="004B42FF" w:rsidRPr="004B42FF" w:rsidRDefault="004B42FF" w:rsidP="00386C69">
      <w:pPr>
        <w:widowControl/>
        <w:numPr>
          <w:ilvl w:val="0"/>
          <w:numId w:val="59"/>
        </w:numPr>
        <w:suppressAutoHyphens w:val="0"/>
        <w:autoSpaceDN/>
        <w:spacing w:line="240" w:lineRule="auto"/>
        <w:ind w:left="284" w:firstLine="425"/>
        <w:contextualSpacing/>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 xml:space="preserve">Неблагоприятна текстура и каменливост на почвите </w:t>
      </w:r>
    </w:p>
    <w:p w:rsidR="004B42FF" w:rsidRPr="004B42FF" w:rsidRDefault="004B42FF" w:rsidP="00386C69">
      <w:pPr>
        <w:widowControl/>
        <w:numPr>
          <w:ilvl w:val="0"/>
          <w:numId w:val="59"/>
        </w:numPr>
        <w:suppressAutoHyphens w:val="0"/>
        <w:autoSpaceDN/>
        <w:spacing w:line="240" w:lineRule="auto"/>
        <w:ind w:left="284" w:firstLine="425"/>
        <w:contextualSpacing/>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 xml:space="preserve">Повърхностна дълбочина на вкореняване </w:t>
      </w:r>
    </w:p>
    <w:p w:rsidR="004B42FF" w:rsidRPr="004B42FF" w:rsidRDefault="004B42FF" w:rsidP="00386C69">
      <w:pPr>
        <w:widowControl/>
        <w:numPr>
          <w:ilvl w:val="0"/>
          <w:numId w:val="59"/>
        </w:numPr>
        <w:suppressAutoHyphens w:val="0"/>
        <w:autoSpaceDN/>
        <w:spacing w:line="240" w:lineRule="auto"/>
        <w:ind w:left="284" w:firstLine="425"/>
        <w:contextualSpacing/>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 xml:space="preserve">Незадоволителни химични свойства </w:t>
      </w:r>
    </w:p>
    <w:p w:rsidR="004B42FF" w:rsidRPr="004B42FF" w:rsidRDefault="004B42FF" w:rsidP="004B42FF">
      <w:pPr>
        <w:widowControl/>
        <w:suppressAutoHyphens w:val="0"/>
        <w:autoSpaceDN/>
        <w:ind w:firstLine="709"/>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По отношение на ограниченията на база наклон на склона е използван цифров височ</w:t>
      </w:r>
      <w:r w:rsidRPr="004B42FF">
        <w:rPr>
          <w:rFonts w:ascii="Times New Roman" w:eastAsiaTheme="minorHAnsi" w:hAnsi="Times New Roman" w:cs="Times New Roman"/>
          <w:kern w:val="0"/>
          <w:sz w:val="24"/>
          <w:szCs w:val="24"/>
        </w:rPr>
        <w:t>и</w:t>
      </w:r>
      <w:r w:rsidRPr="004B42FF">
        <w:rPr>
          <w:rFonts w:ascii="Times New Roman" w:eastAsiaTheme="minorHAnsi" w:hAnsi="Times New Roman" w:cs="Times New Roman"/>
          <w:kern w:val="0"/>
          <w:sz w:val="24"/>
          <w:szCs w:val="24"/>
        </w:rPr>
        <w:t xml:space="preserve">нен модел на релефа на МЗХГ на база самолетно заснемане в периода 2012-2015 с големина на участъка 8 м. </w:t>
      </w:r>
    </w:p>
    <w:p w:rsidR="004B42FF" w:rsidRPr="004B42FF" w:rsidRDefault="004B42FF" w:rsidP="004B42FF">
      <w:pPr>
        <w:widowControl/>
        <w:suppressAutoHyphens w:val="0"/>
        <w:autoSpaceDN/>
        <w:ind w:firstLine="720"/>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При определяне на районите с природни ограничения, различни от планинските в е</w:t>
      </w:r>
      <w:r w:rsidRPr="004B42FF">
        <w:rPr>
          <w:rFonts w:ascii="Times New Roman" w:eastAsiaTheme="minorHAnsi" w:hAnsi="Times New Roman" w:cs="Times New Roman"/>
          <w:kern w:val="0"/>
          <w:sz w:val="24"/>
          <w:szCs w:val="24"/>
        </w:rPr>
        <w:t>в</w:t>
      </w:r>
      <w:r w:rsidRPr="004B42FF">
        <w:rPr>
          <w:rFonts w:ascii="Times New Roman" w:eastAsiaTheme="minorHAnsi" w:hAnsi="Times New Roman" w:cs="Times New Roman"/>
          <w:kern w:val="0"/>
          <w:sz w:val="24"/>
          <w:szCs w:val="24"/>
        </w:rPr>
        <w:t>ропейското законодателство е определен праг ограниченията да обхващат повече от 60 % от земеделската земя на ниво местна административна единица-землище.</w:t>
      </w:r>
    </w:p>
    <w:p w:rsidR="004B42FF" w:rsidRPr="004B42FF" w:rsidRDefault="004B42FF" w:rsidP="004B42FF">
      <w:pPr>
        <w:widowControl/>
        <w:suppressAutoHyphens w:val="0"/>
        <w:autoSpaceDN/>
        <w:ind w:firstLine="720"/>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Вторият етап от дефинирането на районите с ограничения, различни от планинските, включва допълнително прецизиране на определените на първия етап райони. Предвид нали</w:t>
      </w:r>
      <w:r w:rsidRPr="004B42FF">
        <w:rPr>
          <w:rFonts w:ascii="Times New Roman" w:eastAsiaTheme="minorHAnsi" w:hAnsi="Times New Roman" w:cs="Times New Roman"/>
          <w:kern w:val="0"/>
          <w:sz w:val="24"/>
          <w:szCs w:val="24"/>
        </w:rPr>
        <w:t>ч</w:t>
      </w:r>
      <w:r w:rsidRPr="004B42FF">
        <w:rPr>
          <w:rFonts w:ascii="Times New Roman" w:eastAsiaTheme="minorHAnsi" w:hAnsi="Times New Roman" w:cs="Times New Roman"/>
          <w:kern w:val="0"/>
          <w:sz w:val="24"/>
          <w:szCs w:val="24"/>
        </w:rPr>
        <w:t>ните данни в страната на ниво землище, отчитайки изискването използваният подход да отч</w:t>
      </w:r>
      <w:r w:rsidRPr="004B42FF">
        <w:rPr>
          <w:rFonts w:ascii="Times New Roman" w:eastAsiaTheme="minorHAnsi" w:hAnsi="Times New Roman" w:cs="Times New Roman"/>
          <w:kern w:val="0"/>
          <w:sz w:val="24"/>
          <w:szCs w:val="24"/>
        </w:rPr>
        <w:t>и</w:t>
      </w:r>
      <w:r w:rsidRPr="004B42FF">
        <w:rPr>
          <w:rFonts w:ascii="Times New Roman" w:eastAsiaTheme="minorHAnsi" w:hAnsi="Times New Roman" w:cs="Times New Roman"/>
          <w:kern w:val="0"/>
          <w:sz w:val="24"/>
          <w:szCs w:val="24"/>
        </w:rPr>
        <w:t>та информация на максимално ниско ниво (в случая землище), е приложен критерия „норма</w:t>
      </w:r>
      <w:r w:rsidRPr="004B42FF">
        <w:rPr>
          <w:rFonts w:ascii="Times New Roman" w:eastAsiaTheme="minorHAnsi" w:hAnsi="Times New Roman" w:cs="Times New Roman"/>
          <w:kern w:val="0"/>
          <w:sz w:val="24"/>
          <w:szCs w:val="24"/>
        </w:rPr>
        <w:t>л</w:t>
      </w:r>
      <w:r w:rsidRPr="004B42FF">
        <w:rPr>
          <w:rFonts w:ascii="Times New Roman" w:eastAsiaTheme="minorHAnsi" w:hAnsi="Times New Roman" w:cs="Times New Roman"/>
          <w:kern w:val="0"/>
          <w:sz w:val="24"/>
          <w:szCs w:val="24"/>
        </w:rPr>
        <w:t xml:space="preserve">на производителност на земята“. Анализът и резултатите от него са извършени и представени от Института по почвознание, агротехнологии и защита на растенията „Никола Пушкаров". </w:t>
      </w:r>
    </w:p>
    <w:p w:rsidR="004B42FF" w:rsidRPr="004B42FF" w:rsidRDefault="004B42FF" w:rsidP="004B42FF">
      <w:pPr>
        <w:widowControl/>
        <w:suppressAutoHyphens w:val="0"/>
        <w:autoSpaceDN/>
        <w:spacing w:after="0"/>
        <w:ind w:firstLine="720"/>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Производителността на земите в България се определя чрез тяхната бонитетна оценка. Оценката на производителността на земите се прилага в кадастъра на земеделските земи като мярка за естественото плодородие на всеки кадастрален парцел, която подлежи на своеврем</w:t>
      </w:r>
      <w:r w:rsidRPr="004B42FF">
        <w:rPr>
          <w:rFonts w:ascii="Times New Roman" w:eastAsiaTheme="minorHAnsi" w:hAnsi="Times New Roman" w:cs="Times New Roman"/>
          <w:kern w:val="0"/>
          <w:sz w:val="24"/>
          <w:szCs w:val="24"/>
        </w:rPr>
        <w:t>е</w:t>
      </w:r>
      <w:r w:rsidRPr="004B42FF">
        <w:rPr>
          <w:rFonts w:ascii="Times New Roman" w:eastAsiaTheme="minorHAnsi" w:hAnsi="Times New Roman" w:cs="Times New Roman"/>
          <w:kern w:val="0"/>
          <w:sz w:val="24"/>
          <w:szCs w:val="24"/>
        </w:rPr>
        <w:t>нен преглед при промени в ползването. Тя се използва за планиране на дейностите за по-добро териториално и селскостопанско управление, рационален избор на култури по райони, инве</w:t>
      </w:r>
      <w:r w:rsidRPr="004B42FF">
        <w:rPr>
          <w:rFonts w:ascii="Times New Roman" w:eastAsiaTheme="minorHAnsi" w:hAnsi="Times New Roman" w:cs="Times New Roman"/>
          <w:kern w:val="0"/>
          <w:sz w:val="24"/>
          <w:szCs w:val="24"/>
        </w:rPr>
        <w:t>с</w:t>
      </w:r>
      <w:r w:rsidRPr="004B42FF">
        <w:rPr>
          <w:rFonts w:ascii="Times New Roman" w:eastAsiaTheme="minorHAnsi" w:hAnsi="Times New Roman" w:cs="Times New Roman"/>
          <w:kern w:val="0"/>
          <w:sz w:val="24"/>
          <w:szCs w:val="24"/>
        </w:rPr>
        <w:t>тиции в насаждения от трайни насаждения, оценка на потенциалния добив от културите и др.</w:t>
      </w:r>
    </w:p>
    <w:p w:rsidR="004B42FF" w:rsidRPr="004B42FF" w:rsidRDefault="004B42FF" w:rsidP="004B42FF">
      <w:pPr>
        <w:widowControl/>
        <w:suppressAutoHyphens w:val="0"/>
        <w:autoSpaceDN/>
        <w:spacing w:after="0"/>
        <w:ind w:firstLine="720"/>
        <w:jc w:val="both"/>
        <w:textAlignment w:val="auto"/>
        <w:rPr>
          <w:rFonts w:ascii="Times New Roman" w:eastAsiaTheme="minorHAnsi" w:hAnsi="Times New Roman" w:cs="Times New Roman"/>
          <w:kern w:val="0"/>
          <w:sz w:val="24"/>
          <w:szCs w:val="24"/>
          <w:lang w:val="en-US"/>
        </w:rPr>
      </w:pPr>
      <w:r w:rsidRPr="004B42FF">
        <w:rPr>
          <w:rFonts w:ascii="Times New Roman" w:eastAsiaTheme="minorHAnsi" w:hAnsi="Times New Roman" w:cs="Times New Roman"/>
          <w:kern w:val="0"/>
          <w:sz w:val="24"/>
          <w:szCs w:val="24"/>
        </w:rPr>
        <w:t>Методиката за оценка на производителността на земята е разработена в Института по почвознание и е актуализирана с приемане на препоръчаните от Организацията по прехрана и земеделие (</w:t>
      </w:r>
      <w:r w:rsidRPr="004B42FF">
        <w:rPr>
          <w:rFonts w:ascii="Times New Roman" w:eastAsiaTheme="minorHAnsi" w:hAnsi="Times New Roman" w:cs="Times New Roman"/>
          <w:kern w:val="0"/>
          <w:sz w:val="24"/>
          <w:szCs w:val="24"/>
          <w:lang w:val="en-US"/>
        </w:rPr>
        <w:t>FAO</w:t>
      </w:r>
      <w:r w:rsidRPr="004B42FF">
        <w:rPr>
          <w:rFonts w:ascii="Times New Roman" w:eastAsiaTheme="minorHAnsi" w:hAnsi="Times New Roman" w:cs="Times New Roman"/>
          <w:kern w:val="0"/>
          <w:sz w:val="24"/>
          <w:szCs w:val="24"/>
        </w:rPr>
        <w:t>) принципи за оценка на земята</w:t>
      </w:r>
      <w:r w:rsidRPr="004B42FF">
        <w:rPr>
          <w:rFonts w:ascii="Times New Roman" w:eastAsiaTheme="minorHAnsi" w:hAnsi="Times New Roman" w:cs="Times New Roman"/>
          <w:kern w:val="0"/>
          <w:sz w:val="24"/>
          <w:szCs w:val="24"/>
          <w:lang w:val="en-US"/>
        </w:rPr>
        <w:t>.</w:t>
      </w:r>
    </w:p>
    <w:p w:rsidR="004B42FF" w:rsidRPr="004B42FF" w:rsidRDefault="004B42FF" w:rsidP="004B42FF">
      <w:pPr>
        <w:widowControl/>
        <w:suppressAutoHyphens w:val="0"/>
        <w:autoSpaceDN/>
        <w:spacing w:after="120"/>
        <w:ind w:firstLine="709"/>
        <w:jc w:val="both"/>
        <w:textAlignment w:val="auto"/>
        <w:rPr>
          <w:rFonts w:ascii="Times New Roman" w:eastAsia="Times New Roman" w:hAnsi="Times New Roman" w:cs="Times New Roman"/>
          <w:kern w:val="0"/>
          <w:sz w:val="24"/>
          <w:szCs w:val="24"/>
        </w:rPr>
      </w:pPr>
      <w:r w:rsidRPr="004B42FF">
        <w:rPr>
          <w:rFonts w:ascii="Times New Roman" w:eastAsia="Times New Roman" w:hAnsi="Times New Roman" w:cs="Times New Roman"/>
          <w:kern w:val="0"/>
          <w:sz w:val="24"/>
          <w:szCs w:val="24"/>
        </w:rPr>
        <w:t>Средно-претеглената категория на земеделските земи от различните райони, възлиза на 8.259</w:t>
      </w:r>
      <w:r w:rsidRPr="004B42FF">
        <w:rPr>
          <w:rFonts w:ascii="Times New Roman" w:eastAsia="Times New Roman" w:hAnsi="Times New Roman" w:cs="Times New Roman"/>
          <w:kern w:val="0"/>
          <w:sz w:val="24"/>
          <w:szCs w:val="24"/>
          <w:lang w:val="en-US" w:eastAsia="bg-BG"/>
        </w:rPr>
        <w:t xml:space="preserve"> </w:t>
      </w:r>
      <w:r w:rsidRPr="004B42FF">
        <w:rPr>
          <w:rFonts w:ascii="Times New Roman" w:eastAsia="Times New Roman" w:hAnsi="Times New Roman" w:cs="Times New Roman"/>
          <w:kern w:val="0"/>
          <w:sz w:val="24"/>
          <w:szCs w:val="24"/>
        </w:rPr>
        <w:t>за земите в планинските райони и 4.411 за районите, различни от планинските.</w:t>
      </w:r>
      <w:r w:rsidRPr="004B42FF">
        <w:rPr>
          <w:rFonts w:ascii="Times New Roman" w:eastAsia="Times New Roman" w:hAnsi="Times New Roman" w:cs="Times New Roman"/>
          <w:b/>
          <w:kern w:val="0"/>
          <w:sz w:val="24"/>
          <w:szCs w:val="24"/>
        </w:rPr>
        <w:t xml:space="preserve"> </w:t>
      </w:r>
      <w:r w:rsidRPr="004B42FF">
        <w:rPr>
          <w:rFonts w:ascii="Times New Roman" w:eastAsia="Times New Roman" w:hAnsi="Times New Roman" w:cs="Times New Roman"/>
          <w:kern w:val="0"/>
          <w:sz w:val="24"/>
          <w:szCs w:val="24"/>
          <w:lang w:eastAsia="bg-BG"/>
        </w:rPr>
        <w:t>Средно-претеглената категория на земеделските земи за цялата територия на страната е 4.952</w:t>
      </w:r>
      <w:r w:rsidRPr="004B42FF">
        <w:rPr>
          <w:rFonts w:ascii="Times New Roman" w:eastAsia="Times New Roman" w:hAnsi="Times New Roman" w:cs="Times New Roman"/>
          <w:kern w:val="0"/>
          <w:sz w:val="24"/>
          <w:szCs w:val="24"/>
          <w:lang w:val="en-US" w:eastAsia="bg-BG"/>
        </w:rPr>
        <w:t xml:space="preserve">.  </w:t>
      </w:r>
      <w:r w:rsidRPr="004B42FF">
        <w:rPr>
          <w:rFonts w:ascii="Times New Roman" w:eastAsia="Times New Roman" w:hAnsi="Times New Roman" w:cs="Times New Roman"/>
          <w:kern w:val="0"/>
          <w:sz w:val="24"/>
          <w:szCs w:val="24"/>
        </w:rPr>
        <w:t>Тази стойност съответства на бонитетен бал 60.5, 80 % от стойността на който е 48.4. Този бонит</w:t>
      </w:r>
      <w:r w:rsidRPr="004B42FF">
        <w:rPr>
          <w:rFonts w:ascii="Times New Roman" w:eastAsia="Times New Roman" w:hAnsi="Times New Roman" w:cs="Times New Roman"/>
          <w:kern w:val="0"/>
          <w:sz w:val="24"/>
          <w:szCs w:val="24"/>
        </w:rPr>
        <w:t>е</w:t>
      </w:r>
      <w:r w:rsidRPr="004B42FF">
        <w:rPr>
          <w:rFonts w:ascii="Times New Roman" w:eastAsia="Times New Roman" w:hAnsi="Times New Roman" w:cs="Times New Roman"/>
          <w:kern w:val="0"/>
          <w:sz w:val="24"/>
          <w:szCs w:val="24"/>
        </w:rPr>
        <w:lastRenderedPageBreak/>
        <w:t>тен бал съответства на 6-та категория на земите. Според таблицата за съответствие на катег</w:t>
      </w:r>
      <w:r w:rsidRPr="004B42FF">
        <w:rPr>
          <w:rFonts w:ascii="Times New Roman" w:eastAsia="Times New Roman" w:hAnsi="Times New Roman" w:cs="Times New Roman"/>
          <w:kern w:val="0"/>
          <w:sz w:val="24"/>
          <w:szCs w:val="24"/>
        </w:rPr>
        <w:t>о</w:t>
      </w:r>
      <w:r w:rsidRPr="004B42FF">
        <w:rPr>
          <w:rFonts w:ascii="Times New Roman" w:eastAsia="Times New Roman" w:hAnsi="Times New Roman" w:cs="Times New Roman"/>
          <w:kern w:val="0"/>
          <w:sz w:val="24"/>
          <w:szCs w:val="24"/>
        </w:rPr>
        <w:t xml:space="preserve">риите на земите по националната класификация и </w:t>
      </w:r>
      <w:r w:rsidRPr="004B42FF">
        <w:rPr>
          <w:rFonts w:ascii="Times New Roman" w:eastAsia="Times New Roman" w:hAnsi="Times New Roman" w:cs="Times New Roman"/>
          <w:kern w:val="0"/>
          <w:sz w:val="24"/>
          <w:szCs w:val="24"/>
          <w:lang w:val="en-US"/>
        </w:rPr>
        <w:t>FAO</w:t>
      </w:r>
      <w:r w:rsidRPr="004B42FF">
        <w:rPr>
          <w:rFonts w:ascii="Times New Roman" w:eastAsia="Times New Roman" w:hAnsi="Times New Roman" w:cs="Times New Roman"/>
          <w:kern w:val="0"/>
          <w:sz w:val="24"/>
          <w:szCs w:val="24"/>
        </w:rPr>
        <w:t>, земите с бонитетен бал от 40 до 50 (земи 6-та категория по националната класификация) спадат към земите със значителни огр</w:t>
      </w:r>
      <w:r w:rsidRPr="004B42FF">
        <w:rPr>
          <w:rFonts w:ascii="Times New Roman" w:eastAsia="Times New Roman" w:hAnsi="Times New Roman" w:cs="Times New Roman"/>
          <w:kern w:val="0"/>
          <w:sz w:val="24"/>
          <w:szCs w:val="24"/>
        </w:rPr>
        <w:t>а</w:t>
      </w:r>
      <w:r w:rsidRPr="004B42FF">
        <w:rPr>
          <w:rFonts w:ascii="Times New Roman" w:eastAsia="Times New Roman" w:hAnsi="Times New Roman" w:cs="Times New Roman"/>
          <w:kern w:val="0"/>
          <w:sz w:val="24"/>
          <w:szCs w:val="24"/>
        </w:rPr>
        <w:t xml:space="preserve">ничения (клас </w:t>
      </w:r>
      <w:r w:rsidRPr="004B42FF">
        <w:rPr>
          <w:rFonts w:ascii="Times New Roman" w:eastAsia="Times New Roman" w:hAnsi="Times New Roman" w:cs="Times New Roman"/>
          <w:kern w:val="0"/>
          <w:sz w:val="24"/>
          <w:szCs w:val="24"/>
          <w:lang w:val="en-US"/>
        </w:rPr>
        <w:t xml:space="preserve">S3 </w:t>
      </w:r>
      <w:r w:rsidRPr="004B42FF">
        <w:rPr>
          <w:rFonts w:ascii="Times New Roman" w:eastAsia="Times New Roman" w:hAnsi="Times New Roman" w:cs="Times New Roman"/>
          <w:kern w:val="0"/>
          <w:sz w:val="24"/>
          <w:szCs w:val="24"/>
        </w:rPr>
        <w:t xml:space="preserve">по класификацията на ФАО).  </w:t>
      </w:r>
    </w:p>
    <w:p w:rsidR="004B42FF" w:rsidRPr="004B42FF" w:rsidRDefault="004B42FF" w:rsidP="004B42FF">
      <w:pPr>
        <w:widowControl/>
        <w:suppressAutoHyphens w:val="0"/>
        <w:autoSpaceDN/>
        <w:ind w:firstLine="709"/>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Тези резултати дават основание да бъде приета стойност на средно-претеглената кат</w:t>
      </w:r>
      <w:r w:rsidRPr="004B42FF">
        <w:rPr>
          <w:rFonts w:ascii="Times New Roman" w:eastAsiaTheme="minorHAnsi" w:hAnsi="Times New Roman" w:cs="Times New Roman"/>
          <w:kern w:val="0"/>
          <w:sz w:val="24"/>
          <w:szCs w:val="24"/>
        </w:rPr>
        <w:t>е</w:t>
      </w:r>
      <w:r w:rsidRPr="004B42FF">
        <w:rPr>
          <w:rFonts w:ascii="Times New Roman" w:eastAsiaTheme="minorHAnsi" w:hAnsi="Times New Roman" w:cs="Times New Roman"/>
          <w:kern w:val="0"/>
          <w:sz w:val="24"/>
          <w:szCs w:val="24"/>
        </w:rPr>
        <w:t>гория на земеделските земи в дадено землище ≥ 6 за праг на критерия за допълнително уто</w:t>
      </w:r>
      <w:r w:rsidRPr="004B42FF">
        <w:rPr>
          <w:rFonts w:ascii="Times New Roman" w:eastAsiaTheme="minorHAnsi" w:hAnsi="Times New Roman" w:cs="Times New Roman"/>
          <w:kern w:val="0"/>
          <w:sz w:val="24"/>
          <w:szCs w:val="24"/>
        </w:rPr>
        <w:t>ч</w:t>
      </w:r>
      <w:r w:rsidRPr="004B42FF">
        <w:rPr>
          <w:rFonts w:ascii="Times New Roman" w:eastAsiaTheme="minorHAnsi" w:hAnsi="Times New Roman" w:cs="Times New Roman"/>
          <w:kern w:val="0"/>
          <w:sz w:val="24"/>
          <w:szCs w:val="24"/>
        </w:rPr>
        <w:t>няване на база „нормална производителност на земята”.  В резултат, землища, в които катег</w:t>
      </w:r>
      <w:r w:rsidRPr="004B42FF">
        <w:rPr>
          <w:rFonts w:ascii="Times New Roman" w:eastAsiaTheme="minorHAnsi" w:hAnsi="Times New Roman" w:cs="Times New Roman"/>
          <w:kern w:val="0"/>
          <w:sz w:val="24"/>
          <w:szCs w:val="24"/>
        </w:rPr>
        <w:t>о</w:t>
      </w:r>
      <w:r w:rsidRPr="004B42FF">
        <w:rPr>
          <w:rFonts w:ascii="Times New Roman" w:eastAsiaTheme="minorHAnsi" w:hAnsi="Times New Roman" w:cs="Times New Roman"/>
          <w:kern w:val="0"/>
          <w:sz w:val="24"/>
          <w:szCs w:val="24"/>
        </w:rPr>
        <w:t>рията на земята е ≥ 6, са отчетени като такива, в които природните ограничения не са преод</w:t>
      </w:r>
      <w:r w:rsidRPr="004B42FF">
        <w:rPr>
          <w:rFonts w:ascii="Times New Roman" w:eastAsiaTheme="minorHAnsi" w:hAnsi="Times New Roman" w:cs="Times New Roman"/>
          <w:kern w:val="0"/>
          <w:sz w:val="24"/>
          <w:szCs w:val="24"/>
        </w:rPr>
        <w:t>о</w:t>
      </w:r>
      <w:r w:rsidRPr="004B42FF">
        <w:rPr>
          <w:rFonts w:ascii="Times New Roman" w:eastAsiaTheme="minorHAnsi" w:hAnsi="Times New Roman" w:cs="Times New Roman"/>
          <w:kern w:val="0"/>
          <w:sz w:val="24"/>
          <w:szCs w:val="24"/>
        </w:rPr>
        <w:t>лени. В процеса на допълнителното прецизиране на районите с природни ограничения, ра</w:t>
      </w:r>
      <w:r w:rsidRPr="004B42FF">
        <w:rPr>
          <w:rFonts w:ascii="Times New Roman" w:eastAsiaTheme="minorHAnsi" w:hAnsi="Times New Roman" w:cs="Times New Roman"/>
          <w:kern w:val="0"/>
          <w:sz w:val="24"/>
          <w:szCs w:val="24"/>
        </w:rPr>
        <w:t>з</w:t>
      </w:r>
      <w:r w:rsidRPr="004B42FF">
        <w:rPr>
          <w:rFonts w:ascii="Times New Roman" w:eastAsiaTheme="minorHAnsi" w:hAnsi="Times New Roman" w:cs="Times New Roman"/>
          <w:kern w:val="0"/>
          <w:sz w:val="24"/>
          <w:szCs w:val="24"/>
        </w:rPr>
        <w:t>лични от планинските, учените от Института отчитат и неблагоприятните от технологична гледна точка характеристики на почвите с вертични свойства, които се проявяват все по-осезаемо в условията на климатични промени, които при условията на България се характер</w:t>
      </w:r>
      <w:r w:rsidRPr="004B42FF">
        <w:rPr>
          <w:rFonts w:ascii="Times New Roman" w:eastAsiaTheme="minorHAnsi" w:hAnsi="Times New Roman" w:cs="Times New Roman"/>
          <w:kern w:val="0"/>
          <w:sz w:val="24"/>
          <w:szCs w:val="24"/>
        </w:rPr>
        <w:t>и</w:t>
      </w:r>
      <w:r w:rsidRPr="004B42FF">
        <w:rPr>
          <w:rFonts w:ascii="Times New Roman" w:eastAsiaTheme="minorHAnsi" w:hAnsi="Times New Roman" w:cs="Times New Roman"/>
          <w:kern w:val="0"/>
          <w:sz w:val="24"/>
          <w:szCs w:val="24"/>
        </w:rPr>
        <w:t>зират с все по-продължителни периоди на засушаване, следвани от интензивни валежи. В р</w:t>
      </w:r>
      <w:r w:rsidRPr="004B42FF">
        <w:rPr>
          <w:rFonts w:ascii="Times New Roman" w:eastAsiaTheme="minorHAnsi" w:hAnsi="Times New Roman" w:cs="Times New Roman"/>
          <w:kern w:val="0"/>
          <w:sz w:val="24"/>
          <w:szCs w:val="24"/>
        </w:rPr>
        <w:t>е</w:t>
      </w:r>
      <w:r w:rsidRPr="004B42FF">
        <w:rPr>
          <w:rFonts w:ascii="Times New Roman" w:eastAsiaTheme="minorHAnsi" w:hAnsi="Times New Roman" w:cs="Times New Roman"/>
          <w:kern w:val="0"/>
          <w:sz w:val="24"/>
          <w:szCs w:val="24"/>
        </w:rPr>
        <w:t>зултат, в допълнение към предложения праг от 6-та категория земя са включени и землища, в които повече от 60 % от земеделската земя е заета от почви с вертични свойства.</w:t>
      </w:r>
    </w:p>
    <w:p w:rsidR="004B42FF" w:rsidRPr="004B42FF" w:rsidRDefault="004B42FF" w:rsidP="004B42FF">
      <w:pPr>
        <w:widowControl/>
        <w:suppressAutoHyphens w:val="0"/>
        <w:autoSpaceDN/>
        <w:ind w:firstLine="709"/>
        <w:jc w:val="both"/>
        <w:textAlignment w:val="auto"/>
        <w:rPr>
          <w:rFonts w:ascii="Times New Roman" w:eastAsiaTheme="minorHAnsi" w:hAnsi="Times New Roman" w:cs="Times New Roman"/>
          <w:kern w:val="0"/>
          <w:sz w:val="24"/>
          <w:szCs w:val="24"/>
        </w:rPr>
      </w:pPr>
      <w:r w:rsidRPr="004B42FF">
        <w:rPr>
          <w:rFonts w:ascii="Times New Roman" w:eastAsiaTheme="minorHAnsi" w:hAnsi="Times New Roman" w:cs="Times New Roman"/>
          <w:kern w:val="0"/>
          <w:sz w:val="24"/>
          <w:szCs w:val="24"/>
        </w:rPr>
        <w:t>В заключение, подходът за допълнителното прецизиране на райони с природни огран</w:t>
      </w:r>
      <w:r w:rsidRPr="004B42FF">
        <w:rPr>
          <w:rFonts w:ascii="Times New Roman" w:eastAsiaTheme="minorHAnsi" w:hAnsi="Times New Roman" w:cs="Times New Roman"/>
          <w:kern w:val="0"/>
          <w:sz w:val="24"/>
          <w:szCs w:val="24"/>
        </w:rPr>
        <w:t>и</w:t>
      </w:r>
      <w:r w:rsidRPr="004B42FF">
        <w:rPr>
          <w:rFonts w:ascii="Times New Roman" w:eastAsiaTheme="minorHAnsi" w:hAnsi="Times New Roman" w:cs="Times New Roman"/>
          <w:kern w:val="0"/>
          <w:sz w:val="24"/>
          <w:szCs w:val="24"/>
        </w:rPr>
        <w:t>чения, различни от планинските, обхваща землища, в които категорията на земята е ≥ 6 и зе</w:t>
      </w:r>
      <w:r w:rsidRPr="004B42FF">
        <w:rPr>
          <w:rFonts w:ascii="Times New Roman" w:eastAsiaTheme="minorHAnsi" w:hAnsi="Times New Roman" w:cs="Times New Roman"/>
          <w:kern w:val="0"/>
          <w:sz w:val="24"/>
          <w:szCs w:val="24"/>
        </w:rPr>
        <w:t>м</w:t>
      </w:r>
      <w:r w:rsidRPr="004B42FF">
        <w:rPr>
          <w:rFonts w:ascii="Times New Roman" w:eastAsiaTheme="minorHAnsi" w:hAnsi="Times New Roman" w:cs="Times New Roman"/>
          <w:kern w:val="0"/>
          <w:sz w:val="24"/>
          <w:szCs w:val="24"/>
        </w:rPr>
        <w:t>лищата, в които повече от 60 % от земеделската земя е заета от почви с вертични свойства.</w:t>
      </w:r>
    </w:p>
    <w:p w:rsidR="004B42FF" w:rsidRPr="004B42FF" w:rsidRDefault="004B42FF" w:rsidP="004B42FF">
      <w:pPr>
        <w:widowControl/>
        <w:suppressAutoHyphens w:val="0"/>
        <w:autoSpaceDN/>
        <w:ind w:firstLine="720"/>
        <w:jc w:val="both"/>
        <w:textAlignment w:val="auto"/>
        <w:rPr>
          <w:rFonts w:ascii="Times New Roman" w:eastAsiaTheme="minorHAnsi" w:hAnsi="Times New Roman" w:cs="Times New Roman"/>
          <w:kern w:val="0"/>
          <w:sz w:val="24"/>
          <w:szCs w:val="24"/>
        </w:rPr>
      </w:pPr>
    </w:p>
    <w:p w:rsidR="00BD3E0A" w:rsidRPr="004B42FF" w:rsidRDefault="00BD3E0A" w:rsidP="004B42FF">
      <w:pPr>
        <w:pStyle w:val="Standard"/>
        <w:ind w:left="426"/>
        <w:jc w:val="both"/>
      </w:pPr>
    </w:p>
    <w:p w:rsidR="00BD3E0A" w:rsidRDefault="00BD3E0A">
      <w:pPr>
        <w:pStyle w:val="Standard"/>
        <w:ind w:left="426"/>
        <w:jc w:val="right"/>
        <w:rPr>
          <w:b/>
          <w:i/>
        </w:rPr>
      </w:pPr>
    </w:p>
    <w:p w:rsidR="00BD3E0A" w:rsidRDefault="00E17BE8" w:rsidP="00343AA9">
      <w:pPr>
        <w:pStyle w:val="Standard"/>
        <w:spacing w:line="276" w:lineRule="auto"/>
        <w:ind w:left="426"/>
        <w:jc w:val="right"/>
        <w:rPr>
          <w:b/>
          <w:i/>
        </w:rPr>
      </w:pPr>
      <w:r>
        <w:rPr>
          <w:b/>
          <w:i/>
        </w:rPr>
        <w:t xml:space="preserve">Приложение № </w:t>
      </w:r>
      <w:r w:rsidR="004B42FF">
        <w:rPr>
          <w:b/>
          <w:i/>
        </w:rPr>
        <w:t>6</w:t>
      </w:r>
    </w:p>
    <w:p w:rsidR="00343AA9" w:rsidRPr="00343AA9" w:rsidRDefault="00343AA9" w:rsidP="00343AA9">
      <w:pPr>
        <w:widowControl/>
        <w:suppressAutoHyphens w:val="0"/>
        <w:autoSpaceDN/>
        <w:spacing w:before="240" w:after="240" w:line="240" w:lineRule="auto"/>
        <w:ind w:firstLine="720"/>
        <w:jc w:val="both"/>
        <w:textAlignment w:val="auto"/>
        <w:rPr>
          <w:rFonts w:ascii="Times New Roman" w:eastAsia="Times New Roman" w:hAnsi="Times New Roman" w:cs="Times New Roman"/>
          <w:b/>
          <w:bCs/>
          <w:kern w:val="0"/>
          <w:sz w:val="24"/>
          <w:szCs w:val="24"/>
        </w:rPr>
      </w:pPr>
      <w:r w:rsidRPr="00C9352C">
        <w:rPr>
          <w:rFonts w:ascii="Times New Roman" w:eastAsia="Times New Roman" w:hAnsi="Times New Roman" w:cs="Times New Roman"/>
          <w:b/>
          <w:kern w:val="0"/>
          <w:sz w:val="24"/>
          <w:szCs w:val="24"/>
        </w:rPr>
        <w:t>Т.3.7. Изменения в текста на</w:t>
      </w:r>
      <w:r w:rsidRPr="00343AA9">
        <w:rPr>
          <w:rFonts w:ascii="Times New Roman" w:eastAsia="Times New Roman" w:hAnsi="Times New Roman" w:cs="Times New Roman"/>
          <w:kern w:val="0"/>
          <w:sz w:val="24"/>
          <w:szCs w:val="24"/>
        </w:rPr>
        <w:t xml:space="preserve"> </w:t>
      </w:r>
      <w:r w:rsidRPr="00343AA9">
        <w:rPr>
          <w:rFonts w:ascii="Times New Roman" w:eastAsia="Times New Roman" w:hAnsi="Times New Roman" w:cs="Times New Roman"/>
          <w:b/>
          <w:kern w:val="0"/>
          <w:sz w:val="24"/>
          <w:szCs w:val="24"/>
        </w:rPr>
        <w:t>мярка 14 „Хуманно отношение към животните“</w:t>
      </w:r>
    </w:p>
    <w:p w:rsidR="00343AA9" w:rsidRPr="00343AA9" w:rsidRDefault="00343AA9" w:rsidP="00343AA9">
      <w:pPr>
        <w:widowControl/>
        <w:suppressAutoHyphens w:val="0"/>
        <w:autoSpaceDN/>
        <w:spacing w:before="240" w:after="240" w:line="240" w:lineRule="auto"/>
        <w:ind w:firstLine="720"/>
        <w:jc w:val="both"/>
        <w:textAlignment w:val="auto"/>
        <w:rPr>
          <w:rFonts w:ascii="Times New Roman" w:eastAsia="Times New Roman" w:hAnsi="Times New Roman" w:cs="Times New Roman"/>
          <w:b/>
          <w:bCs/>
          <w:kern w:val="0"/>
          <w:sz w:val="24"/>
          <w:szCs w:val="24"/>
        </w:rPr>
      </w:pPr>
    </w:p>
    <w:p w:rsidR="00343AA9" w:rsidRPr="00343AA9" w:rsidRDefault="00343AA9" w:rsidP="00343AA9">
      <w:pPr>
        <w:widowControl/>
        <w:suppressAutoHyphens w:val="0"/>
        <w:autoSpaceDN/>
        <w:spacing w:before="240" w:after="240" w:line="240" w:lineRule="auto"/>
        <w:ind w:firstLine="720"/>
        <w:jc w:val="both"/>
        <w:textAlignment w:val="auto"/>
        <w:rPr>
          <w:rFonts w:ascii="Times New Roman" w:eastAsia="Times New Roman" w:hAnsi="Times New Roman" w:cs="Times New Roman"/>
          <w:color w:val="000000"/>
          <w:kern w:val="0"/>
          <w:szCs w:val="24"/>
        </w:rPr>
      </w:pPr>
      <w:r w:rsidRPr="00343AA9">
        <w:rPr>
          <w:rFonts w:ascii="Times New Roman" w:eastAsia="Times New Roman" w:hAnsi="Times New Roman" w:cs="Times New Roman"/>
          <w:color w:val="000000"/>
          <w:kern w:val="0"/>
          <w:szCs w:val="24"/>
        </w:rPr>
        <w:t>Управляващият орган предлага допълнение на текста на мярка 14 „Хуманно отношение към животните“ от Програмата, както следва:</w:t>
      </w:r>
    </w:p>
    <w:p w:rsidR="00343AA9" w:rsidRPr="00343AA9" w:rsidRDefault="00343AA9" w:rsidP="00386C69">
      <w:pPr>
        <w:widowControl/>
        <w:numPr>
          <w:ilvl w:val="0"/>
          <w:numId w:val="65"/>
        </w:numPr>
        <w:suppressAutoHyphens w:val="0"/>
        <w:autoSpaceDN/>
        <w:spacing w:before="240" w:after="240" w:line="240" w:lineRule="auto"/>
        <w:ind w:firstLine="720"/>
        <w:contextualSpacing/>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bCs/>
          <w:kern w:val="0"/>
          <w:sz w:val="24"/>
          <w:szCs w:val="24"/>
        </w:rPr>
        <w:t>Предложение за промяна в продължителността на ангажимента на земеделските стопани по мярката и прецизиране текстове по отношение на изпълняваните ангажименти от страна на земеделските стопани по мярка 14 „Хуманно отношение към животните“ от ПРСР 2014-2020 г.</w:t>
      </w:r>
      <w:r w:rsidRPr="00343AA9">
        <w:rPr>
          <w:rFonts w:ascii="Times New Roman" w:eastAsia="Times New Roman" w:hAnsi="Times New Roman" w:cs="Times New Roman"/>
          <w:b/>
          <w:bCs/>
          <w:kern w:val="0"/>
          <w:sz w:val="24"/>
          <w:szCs w:val="24"/>
        </w:rPr>
        <w:t xml:space="preserve"> </w:t>
      </w:r>
    </w:p>
    <w:p w:rsidR="00343AA9" w:rsidRPr="00343AA9" w:rsidRDefault="00343AA9" w:rsidP="00343AA9">
      <w:pPr>
        <w:widowControl/>
        <w:suppressAutoHyphens w:val="0"/>
        <w:autoSpaceDN/>
        <w:spacing w:before="240" w:after="240" w:line="240" w:lineRule="auto"/>
        <w:ind w:firstLine="720"/>
        <w:contextualSpacing/>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bCs/>
          <w:kern w:val="0"/>
          <w:sz w:val="24"/>
          <w:szCs w:val="24"/>
        </w:rPr>
        <w:t xml:space="preserve">В текущите текстове е предвидено продължителността на ангажимента да бъде поне 5 години. В същото време от една страна задълженията на бенефициера по мярката се основават на ежегодно изпълнявани дейности, от друга страна, разпоредбите на чл. 33, параграф 2 на Регламент 1305/2013 позволяват ангажиментите по мярката да </w:t>
      </w:r>
      <w:r w:rsidRPr="00343AA9">
        <w:rPr>
          <w:rFonts w:ascii="Times New Roman" w:eastAsia="Times New Roman" w:hAnsi="Times New Roman" w:cs="Times New Roman"/>
          <w:kern w:val="0"/>
          <w:sz w:val="24"/>
          <w:szCs w:val="20"/>
          <w:lang w:val="en-GB"/>
        </w:rPr>
        <w:t>се поемат за срок от една до седем години</w:t>
      </w:r>
      <w:r w:rsidRPr="00343AA9">
        <w:rPr>
          <w:rFonts w:ascii="Times New Roman" w:eastAsia="Times New Roman" w:hAnsi="Times New Roman" w:cs="Times New Roman"/>
          <w:kern w:val="0"/>
          <w:sz w:val="24"/>
          <w:szCs w:val="20"/>
        </w:rPr>
        <w:t>. Въпреки текущите текстове на мярката, че ангажиментите се поемат за период от най-малко 5 години, изпълняваните дейности и изисквания по мярката са ограничени в рамките на 1 година, а именно:</w:t>
      </w:r>
    </w:p>
    <w:p w:rsidR="00343AA9" w:rsidRPr="00343AA9" w:rsidRDefault="00343AA9" w:rsidP="00386C69">
      <w:pPr>
        <w:widowControl/>
        <w:numPr>
          <w:ilvl w:val="0"/>
          <w:numId w:val="64"/>
        </w:numPr>
        <w:tabs>
          <w:tab w:val="left" w:pos="993"/>
        </w:tabs>
        <w:suppressAutoHyphens w:val="0"/>
        <w:autoSpaceDN/>
        <w:spacing w:before="240" w:after="240" w:line="240" w:lineRule="auto"/>
        <w:ind w:firstLine="720"/>
        <w:contextualSpacing/>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0"/>
        </w:rPr>
        <w:t>Осигуряване на 10 % повече свободна подова площ за ЕПЖ и ДПЖ</w:t>
      </w:r>
    </w:p>
    <w:p w:rsidR="00343AA9" w:rsidRPr="00343AA9" w:rsidRDefault="00343AA9" w:rsidP="00386C69">
      <w:pPr>
        <w:widowControl/>
        <w:numPr>
          <w:ilvl w:val="0"/>
          <w:numId w:val="64"/>
        </w:numPr>
        <w:tabs>
          <w:tab w:val="left" w:pos="993"/>
        </w:tabs>
        <w:suppressAutoHyphens w:val="0"/>
        <w:autoSpaceDN/>
        <w:spacing w:before="240" w:after="240" w:line="240" w:lineRule="auto"/>
        <w:ind w:firstLine="720"/>
        <w:contextualSpacing/>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0"/>
        </w:rPr>
        <w:t>Осигуряване на свободно отглеждане на открито за минимум 160 дни от годината.</w:t>
      </w:r>
    </w:p>
    <w:p w:rsidR="00343AA9" w:rsidRPr="00343AA9" w:rsidRDefault="00343AA9" w:rsidP="00343AA9">
      <w:pPr>
        <w:widowControl/>
        <w:suppressAutoHyphens w:val="0"/>
        <w:autoSpaceDN/>
        <w:spacing w:before="240" w:after="240" w:line="240" w:lineRule="auto"/>
        <w:ind w:firstLine="720"/>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0"/>
        </w:rPr>
        <w:t>По отношение на дейностите за осигуряване на свободно отглеждане на открито се прецизират текстове, като по този начин се осигурява изпълнението на изискването за мин</w:t>
      </w:r>
      <w:r w:rsidRPr="00343AA9">
        <w:rPr>
          <w:rFonts w:ascii="Times New Roman" w:eastAsia="Times New Roman" w:hAnsi="Times New Roman" w:cs="Times New Roman"/>
          <w:kern w:val="0"/>
          <w:sz w:val="24"/>
          <w:szCs w:val="20"/>
        </w:rPr>
        <w:t>и</w:t>
      </w:r>
      <w:r w:rsidRPr="00343AA9">
        <w:rPr>
          <w:rFonts w:ascii="Times New Roman" w:eastAsia="Times New Roman" w:hAnsi="Times New Roman" w:cs="Times New Roman"/>
          <w:kern w:val="0"/>
          <w:sz w:val="24"/>
          <w:szCs w:val="20"/>
        </w:rPr>
        <w:t xml:space="preserve">мум 160 дни годишно на открито, от които 40 могат да бъдат и в двора на животновъдния обект. Изискването в текущите текстове за отглеждане 40 дни в дворчета, може да ограничи по-дългия период на извеждане на паша на животните, с които се изпълнява ангажимента от страна на земеделския стопанин. По този начин на животните, при благоприятни климатични </w:t>
      </w:r>
      <w:r w:rsidRPr="00343AA9">
        <w:rPr>
          <w:rFonts w:ascii="Times New Roman" w:eastAsia="Times New Roman" w:hAnsi="Times New Roman" w:cs="Times New Roman"/>
          <w:kern w:val="0"/>
          <w:sz w:val="24"/>
          <w:szCs w:val="20"/>
        </w:rPr>
        <w:lastRenderedPageBreak/>
        <w:t xml:space="preserve">и метеорологични условия може да бъде осигурен по-дълъг период за паша, извън дворовете на ЖО в естествена среда на открито. </w:t>
      </w:r>
    </w:p>
    <w:p w:rsidR="00343AA9" w:rsidRDefault="00343AA9" w:rsidP="00343AA9">
      <w:pPr>
        <w:widowControl/>
        <w:suppressAutoHyphens w:val="0"/>
        <w:autoSpaceDN/>
        <w:spacing w:before="240" w:after="240" w:line="240" w:lineRule="auto"/>
        <w:ind w:firstLine="720"/>
        <w:contextualSpacing/>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bCs/>
          <w:kern w:val="0"/>
          <w:sz w:val="24"/>
          <w:szCs w:val="24"/>
        </w:rPr>
        <w:t xml:space="preserve">В тази връзка предложението е за промяна в текста на точка </w:t>
      </w:r>
      <w:r w:rsidRPr="00343AA9">
        <w:rPr>
          <w:rFonts w:ascii="Times New Roman" w:eastAsia="Times New Roman" w:hAnsi="Times New Roman" w:cs="Times New Roman"/>
          <w:color w:val="000000"/>
          <w:kern w:val="0"/>
          <w:szCs w:val="24"/>
        </w:rPr>
        <w:t xml:space="preserve">8.2.12.2 </w:t>
      </w:r>
      <w:r w:rsidRPr="00343AA9">
        <w:rPr>
          <w:rFonts w:ascii="Times New Roman" w:eastAsia="Times New Roman" w:hAnsi="Times New Roman" w:cs="Times New Roman"/>
          <w:i/>
          <w:kern w:val="0"/>
          <w:sz w:val="24"/>
          <w:szCs w:val="20"/>
          <w:lang w:val="en-GB"/>
        </w:rPr>
        <w:t>Общо описание на мярката, включително нейната интервенционна логика и нейният принос за областите с поставен акцент и междусекторните цели</w:t>
      </w:r>
      <w:r w:rsidRPr="00343AA9">
        <w:rPr>
          <w:rFonts w:ascii="Times New Roman" w:eastAsia="Times New Roman" w:hAnsi="Times New Roman" w:cs="Times New Roman"/>
          <w:i/>
          <w:kern w:val="0"/>
          <w:sz w:val="24"/>
          <w:szCs w:val="20"/>
        </w:rPr>
        <w:t xml:space="preserve">, </w:t>
      </w:r>
      <w:r w:rsidRPr="00343AA9">
        <w:rPr>
          <w:rFonts w:ascii="Times New Roman" w:eastAsia="Times New Roman" w:hAnsi="Times New Roman" w:cs="Times New Roman"/>
          <w:kern w:val="0"/>
          <w:sz w:val="24"/>
          <w:szCs w:val="20"/>
        </w:rPr>
        <w:t>както следва:</w:t>
      </w:r>
    </w:p>
    <w:p w:rsidR="00343AA9" w:rsidRPr="00343AA9" w:rsidRDefault="00343AA9" w:rsidP="00343AA9">
      <w:pPr>
        <w:widowControl/>
        <w:suppressAutoHyphens w:val="0"/>
        <w:autoSpaceDN/>
        <w:spacing w:before="240" w:after="240" w:line="240" w:lineRule="auto"/>
        <w:ind w:firstLine="720"/>
        <w:contextualSpacing/>
        <w:jc w:val="both"/>
        <w:textAlignment w:val="auto"/>
        <w:rPr>
          <w:rFonts w:ascii="Times New Roman" w:eastAsia="Times New Roman" w:hAnsi="Times New Roman" w:cs="Times New Roman"/>
          <w:b/>
          <w:bCs/>
          <w:i/>
          <w:kern w:val="0"/>
          <w:sz w:val="24"/>
          <w:szCs w:val="24"/>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343AA9" w:rsidRPr="00343AA9" w:rsidTr="00A54518">
        <w:tc>
          <w:tcPr>
            <w:tcW w:w="5000" w:type="pct"/>
            <w:shd w:val="clear" w:color="auto" w:fill="auto"/>
            <w:tcMar>
              <w:top w:w="20" w:type="dxa"/>
              <w:bottom w:w="20" w:type="dxa"/>
            </w:tcMar>
            <w:vAlign w:val="center"/>
          </w:tcPr>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Тип на подпомагането:</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Мярката предоставя подкрепа на селскостопански производители с животновъдни стопанства за реализиране на един или повече доброволно поети ангажименти за хуманно отношение към животните, които надхвърлят съответните задължителни стандарти съгласно глава І, дял VI от Регламент (ЕС) № 1306/2013 и приложими задължителни изисквания, установени от наци</w:t>
            </w:r>
            <w:r w:rsidRPr="00343AA9">
              <w:rPr>
                <w:rFonts w:ascii="Times New Roman" w:eastAsia="Times New Roman" w:hAnsi="Times New Roman" w:cs="Times New Roman"/>
                <w:kern w:val="0"/>
                <w:sz w:val="24"/>
                <w:szCs w:val="24"/>
              </w:rPr>
              <w:t>о</w:t>
            </w:r>
            <w:r w:rsidRPr="00343AA9">
              <w:rPr>
                <w:rFonts w:ascii="Times New Roman" w:eastAsia="Times New Roman" w:hAnsi="Times New Roman" w:cs="Times New Roman"/>
                <w:kern w:val="0"/>
                <w:sz w:val="24"/>
                <w:szCs w:val="24"/>
              </w:rPr>
              <w:t>налното законодателство.</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4"/>
              </w:rPr>
              <w:t>Помощта щеФинансовата помощ по мярката</w:t>
            </w:r>
            <w:r w:rsidRPr="00343AA9">
              <w:rPr>
                <w:rFonts w:ascii="Times New Roman" w:eastAsia="Times New Roman" w:hAnsi="Times New Roman" w:cs="Times New Roman"/>
                <w:kern w:val="0"/>
                <w:sz w:val="24"/>
                <w:szCs w:val="20"/>
              </w:rPr>
              <w:t xml:space="preserve"> се предоставя под формата на </w:t>
            </w:r>
            <w:r w:rsidRPr="00343AA9">
              <w:rPr>
                <w:rFonts w:ascii="Times New Roman" w:eastAsia="Times New Roman" w:hAnsi="Times New Roman" w:cs="Times New Roman"/>
                <w:kern w:val="0"/>
                <w:sz w:val="24"/>
                <w:szCs w:val="24"/>
              </w:rPr>
              <w:t>годишно плащане за земеделски стопани, които доброволно се задължават да извършват операции по мярката през годината. В съответствие с чл. 33 от Регламент (ЕС) № 1305/2013 помощта е предвидена</w:t>
            </w:r>
            <w:r w:rsidRPr="00343AA9">
              <w:rPr>
                <w:rFonts w:ascii="Times New Roman" w:eastAsia="Times New Roman" w:hAnsi="Times New Roman" w:cs="Times New Roman"/>
                <w:kern w:val="0"/>
                <w:sz w:val="24"/>
                <w:szCs w:val="20"/>
              </w:rPr>
              <w:t xml:space="preserve"> за покриване на допълнителни разходи или </w:t>
            </w:r>
            <w:r w:rsidRPr="00343AA9">
              <w:rPr>
                <w:rFonts w:ascii="Times New Roman" w:eastAsia="Times New Roman" w:hAnsi="Times New Roman" w:cs="Times New Roman"/>
                <w:kern w:val="0"/>
                <w:sz w:val="24"/>
                <w:szCs w:val="24"/>
              </w:rPr>
              <w:t>пропуснат доход</w:t>
            </w:r>
            <w:r w:rsidRPr="00343AA9">
              <w:rPr>
                <w:rFonts w:ascii="Times New Roman" w:eastAsia="Times New Roman" w:hAnsi="Times New Roman" w:cs="Times New Roman"/>
                <w:kern w:val="0"/>
                <w:sz w:val="24"/>
                <w:szCs w:val="20"/>
              </w:rPr>
              <w:t xml:space="preserve">, свързани с </w:t>
            </w:r>
            <w:r w:rsidRPr="00343AA9">
              <w:rPr>
                <w:rFonts w:ascii="Times New Roman" w:eastAsia="Times New Roman" w:hAnsi="Times New Roman" w:cs="Times New Roman"/>
                <w:kern w:val="0"/>
                <w:sz w:val="24"/>
                <w:szCs w:val="24"/>
              </w:rPr>
              <w:t>изпълнението</w:t>
            </w:r>
            <w:r w:rsidRPr="00343AA9">
              <w:rPr>
                <w:rFonts w:ascii="Times New Roman" w:eastAsia="Times New Roman" w:hAnsi="Times New Roman" w:cs="Times New Roman"/>
                <w:kern w:val="0"/>
                <w:sz w:val="24"/>
                <w:szCs w:val="20"/>
              </w:rPr>
              <w:t xml:space="preserve"> на </w:t>
            </w:r>
            <w:r w:rsidRPr="00343AA9">
              <w:rPr>
                <w:rFonts w:ascii="Times New Roman" w:eastAsia="Times New Roman" w:hAnsi="Times New Roman" w:cs="Times New Roman"/>
                <w:kern w:val="0"/>
                <w:sz w:val="24"/>
                <w:szCs w:val="24"/>
              </w:rPr>
              <w:t>до</w:t>
            </w:r>
            <w:r w:rsidRPr="00343AA9">
              <w:rPr>
                <w:rFonts w:ascii="Times New Roman" w:eastAsia="Times New Roman" w:hAnsi="Times New Roman" w:cs="Times New Roman"/>
                <w:kern w:val="0"/>
                <w:sz w:val="24"/>
                <w:szCs w:val="24"/>
              </w:rPr>
              <w:t>б</w:t>
            </w:r>
            <w:r w:rsidRPr="00343AA9">
              <w:rPr>
                <w:rFonts w:ascii="Times New Roman" w:eastAsia="Times New Roman" w:hAnsi="Times New Roman" w:cs="Times New Roman"/>
                <w:kern w:val="0"/>
                <w:sz w:val="24"/>
                <w:szCs w:val="24"/>
              </w:rPr>
              <w:t>роволно изпълнявани едногодишни</w:t>
            </w:r>
            <w:r w:rsidRPr="00343AA9">
              <w:rPr>
                <w:rFonts w:ascii="Times New Roman" w:eastAsia="Times New Roman" w:hAnsi="Times New Roman" w:cs="Times New Roman"/>
                <w:kern w:val="0"/>
                <w:sz w:val="24"/>
                <w:szCs w:val="20"/>
              </w:rPr>
              <w:t xml:space="preserve"> ангажименти.</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Годишните плащания се предоставят при поемане на ангажимент за изпълнение на следните типове операции/дейности:</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Осигуряване на свободна подова площ</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Изпълнението на тази операция изисква броят (гъстотата) на отглежданите животни да бъде по-малък от максимално допустимия в нормативните документи. Това, от своя страна, води до по-голямо пространство заемано от едно животно, по-голяма двигателна активност, а от там и до подобряване на здравословното състояние и благополучие. Осигуряването на свободна п</w:t>
            </w:r>
            <w:r w:rsidRPr="00343AA9">
              <w:rPr>
                <w:rFonts w:ascii="Times New Roman" w:eastAsia="Times New Roman" w:hAnsi="Times New Roman" w:cs="Times New Roman"/>
                <w:kern w:val="0"/>
                <w:sz w:val="24"/>
                <w:szCs w:val="24"/>
              </w:rPr>
              <w:t>о</w:t>
            </w:r>
            <w:r w:rsidRPr="00343AA9">
              <w:rPr>
                <w:rFonts w:ascii="Times New Roman" w:eastAsia="Times New Roman" w:hAnsi="Times New Roman" w:cs="Times New Roman"/>
                <w:kern w:val="0"/>
                <w:sz w:val="24"/>
                <w:szCs w:val="24"/>
              </w:rPr>
              <w:t>дова площ, не по-малка от 10 % над задължителния стандарт е свързано с по-малък брой на отглежданите животни спрямо капацитета на животновъдния обект, респективно приходите от продажба.</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Осигуряване на свободно отглеждане на открито</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Mинимум 160 дни годишно, от които 40  дни могат да бъдат на двора, но минимум 120 дни за свободно пашуване. Осигуряването на по-дълго отглеждане на открито за ЕПЖ и ДПЖ води до увеличение на разходи за наемане на персонал, както и пропуснати ползи от намален мл</w:t>
            </w:r>
            <w:r w:rsidRPr="00343AA9">
              <w:rPr>
                <w:rFonts w:ascii="Times New Roman" w:eastAsia="Times New Roman" w:hAnsi="Times New Roman" w:cs="Times New Roman"/>
                <w:kern w:val="0"/>
                <w:sz w:val="24"/>
                <w:szCs w:val="24"/>
              </w:rPr>
              <w:t>е</w:t>
            </w:r>
            <w:r w:rsidRPr="00343AA9">
              <w:rPr>
                <w:rFonts w:ascii="Times New Roman" w:eastAsia="Times New Roman" w:hAnsi="Times New Roman" w:cs="Times New Roman"/>
                <w:kern w:val="0"/>
                <w:sz w:val="24"/>
                <w:szCs w:val="24"/>
              </w:rPr>
              <w:t>конадой. Чрез осигуряване на свободното отглеждане на открито ще се подобри благополуч</w:t>
            </w:r>
            <w:r w:rsidRPr="00343AA9">
              <w:rPr>
                <w:rFonts w:ascii="Times New Roman" w:eastAsia="Times New Roman" w:hAnsi="Times New Roman" w:cs="Times New Roman"/>
                <w:kern w:val="0"/>
                <w:sz w:val="24"/>
                <w:szCs w:val="24"/>
              </w:rPr>
              <w:t>и</w:t>
            </w:r>
            <w:r w:rsidRPr="00343AA9">
              <w:rPr>
                <w:rFonts w:ascii="Times New Roman" w:eastAsia="Times New Roman" w:hAnsi="Times New Roman" w:cs="Times New Roman"/>
                <w:kern w:val="0"/>
                <w:sz w:val="24"/>
                <w:szCs w:val="24"/>
              </w:rPr>
              <w:t>ето на отглежданите животните.</w:t>
            </w:r>
          </w:p>
          <w:p w:rsidR="00343AA9" w:rsidRPr="00343AA9" w:rsidRDefault="00343AA9" w:rsidP="00343AA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343AA9" w:rsidRPr="00343AA9" w:rsidRDefault="00343AA9" w:rsidP="00386C69">
      <w:pPr>
        <w:widowControl/>
        <w:numPr>
          <w:ilvl w:val="0"/>
          <w:numId w:val="65"/>
        </w:numPr>
        <w:suppressAutoHyphens w:val="0"/>
        <w:autoSpaceDN/>
        <w:spacing w:before="120" w:after="120" w:line="240" w:lineRule="auto"/>
        <w:ind w:firstLine="720"/>
        <w:contextualSpacing/>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0"/>
        </w:rPr>
        <w:t>Прецизиране на текстове, свързани с дейностите по осигуряване на свободно о</w:t>
      </w:r>
      <w:r w:rsidRPr="00343AA9">
        <w:rPr>
          <w:rFonts w:ascii="Times New Roman" w:eastAsia="Times New Roman" w:hAnsi="Times New Roman" w:cs="Times New Roman"/>
          <w:kern w:val="0"/>
          <w:sz w:val="24"/>
          <w:szCs w:val="20"/>
        </w:rPr>
        <w:t>т</w:t>
      </w:r>
      <w:r w:rsidRPr="00343AA9">
        <w:rPr>
          <w:rFonts w:ascii="Times New Roman" w:eastAsia="Times New Roman" w:hAnsi="Times New Roman" w:cs="Times New Roman"/>
          <w:kern w:val="0"/>
          <w:sz w:val="24"/>
          <w:szCs w:val="20"/>
        </w:rPr>
        <w:t>глеждане на открито. Текущите текстове съдържат текстове, съгласно които са фиксирани срокове за отглеждане на животните в дворовете на ЖО, а при подходящи условия животните могат да бъдат извеждани за пашуване на открито, което би оказало по-благоприятно въздей</w:t>
      </w:r>
      <w:r w:rsidRPr="00343AA9">
        <w:rPr>
          <w:rFonts w:ascii="Times New Roman" w:eastAsia="Times New Roman" w:hAnsi="Times New Roman" w:cs="Times New Roman"/>
          <w:kern w:val="0"/>
          <w:sz w:val="24"/>
          <w:szCs w:val="20"/>
        </w:rPr>
        <w:t>с</w:t>
      </w:r>
      <w:r w:rsidRPr="00343AA9">
        <w:rPr>
          <w:rFonts w:ascii="Times New Roman" w:eastAsia="Times New Roman" w:hAnsi="Times New Roman" w:cs="Times New Roman"/>
          <w:kern w:val="0"/>
          <w:sz w:val="24"/>
          <w:szCs w:val="20"/>
        </w:rPr>
        <w:t>твие върху животните.</w:t>
      </w:r>
    </w:p>
    <w:p w:rsidR="00343AA9" w:rsidRDefault="00343AA9" w:rsidP="00343AA9">
      <w:pPr>
        <w:widowControl/>
        <w:suppressAutoHyphens w:val="0"/>
        <w:autoSpaceDN/>
        <w:spacing w:before="120" w:after="120" w:line="240" w:lineRule="auto"/>
        <w:ind w:firstLine="567"/>
        <w:jc w:val="both"/>
        <w:textAlignment w:val="auto"/>
        <w:rPr>
          <w:rFonts w:ascii="Times New Roman" w:eastAsia="Times New Roman" w:hAnsi="Times New Roman" w:cs="Times New Roman"/>
          <w:i/>
          <w:kern w:val="0"/>
          <w:sz w:val="24"/>
          <w:szCs w:val="20"/>
        </w:rPr>
      </w:pPr>
      <w:r w:rsidRPr="00343AA9">
        <w:rPr>
          <w:rFonts w:ascii="Times New Roman" w:eastAsia="Times New Roman" w:hAnsi="Times New Roman" w:cs="Times New Roman"/>
          <w:kern w:val="0"/>
          <w:sz w:val="24"/>
          <w:szCs w:val="20"/>
        </w:rPr>
        <w:t xml:space="preserve">В тази връзка е предложението за промяна на текста в частта 14.1.2 в точка </w:t>
      </w:r>
      <w:r w:rsidRPr="00343AA9">
        <w:rPr>
          <w:rFonts w:ascii="Times New Roman" w:eastAsia="Times New Roman" w:hAnsi="Times New Roman" w:cs="Times New Roman"/>
          <w:i/>
          <w:kern w:val="0"/>
          <w:sz w:val="24"/>
          <w:szCs w:val="20"/>
        </w:rPr>
        <w:t xml:space="preserve">8.2.12.3.1.2 </w:t>
      </w:r>
    </w:p>
    <w:p w:rsidR="00343AA9" w:rsidRPr="00343AA9" w:rsidRDefault="00343AA9" w:rsidP="00343AA9">
      <w:pPr>
        <w:widowControl/>
        <w:suppressAutoHyphens w:val="0"/>
        <w:autoSpaceDN/>
        <w:spacing w:before="120" w:after="120" w:line="240" w:lineRule="auto"/>
        <w:ind w:firstLine="567"/>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i/>
          <w:kern w:val="0"/>
          <w:sz w:val="24"/>
          <w:szCs w:val="20"/>
        </w:rPr>
        <w:t>Вид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343AA9" w:rsidRPr="00343AA9" w:rsidTr="00A54518">
        <w:tc>
          <w:tcPr>
            <w:tcW w:w="5000" w:type="pct"/>
            <w:shd w:val="clear" w:color="auto" w:fill="auto"/>
            <w:tcMar>
              <w:top w:w="20" w:type="dxa"/>
              <w:bottom w:w="20" w:type="dxa"/>
            </w:tcMar>
            <w:vAlign w:val="center"/>
          </w:tcPr>
          <w:p w:rsidR="00343AA9" w:rsidRPr="00343AA9" w:rsidRDefault="00343AA9" w:rsidP="00343AA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 xml:space="preserve">14.1.1 Осигуряване на свободна подова площ не по-малко от 10 % над задължителния стандарт </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lastRenderedPageBreak/>
              <w:t>…………………………</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14.1.2 Осигуряване на свободно отглеждане на открито на ЕПЖ (говеда над 6 месечна възраст и биволи)</w:t>
            </w:r>
          </w:p>
          <w:p w:rsidR="00343AA9" w:rsidRPr="00343AA9" w:rsidRDefault="00343AA9" w:rsidP="00343AA9">
            <w:pPr>
              <w:widowControl/>
              <w:suppressAutoHyphens w:val="0"/>
              <w:autoSpaceDN/>
              <w:spacing w:before="240" w:after="240" w:line="240" w:lineRule="auto"/>
              <w:ind w:left="720"/>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      Свободно отглеждане минимум 160 дни годишно, от които 40  дни могат да бъдат на двора, но минимум 120 дни  за свободно пашуване.</w:t>
            </w:r>
          </w:p>
          <w:p w:rsidR="00343AA9" w:rsidRPr="00343AA9" w:rsidRDefault="00343AA9" w:rsidP="00343AA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343AA9" w:rsidRPr="00343AA9" w:rsidRDefault="00343AA9" w:rsidP="00343AA9">
      <w:pPr>
        <w:widowControl/>
        <w:suppressAutoHyphens w:val="0"/>
        <w:autoSpaceDN/>
        <w:spacing w:before="120" w:after="120" w:line="240" w:lineRule="auto"/>
        <w:ind w:left="1080"/>
        <w:contextualSpacing/>
        <w:jc w:val="both"/>
        <w:textAlignment w:val="auto"/>
        <w:rPr>
          <w:rFonts w:ascii="Times New Roman" w:eastAsia="Times New Roman" w:hAnsi="Times New Roman" w:cs="Times New Roman"/>
          <w:i/>
          <w:kern w:val="0"/>
          <w:sz w:val="24"/>
          <w:szCs w:val="20"/>
        </w:rPr>
      </w:pPr>
      <w:r w:rsidRPr="00343AA9">
        <w:rPr>
          <w:rFonts w:ascii="Times New Roman" w:eastAsia="Times New Roman" w:hAnsi="Times New Roman" w:cs="Times New Roman"/>
          <w:i/>
          <w:kern w:val="0"/>
          <w:sz w:val="24"/>
          <w:szCs w:val="20"/>
        </w:rPr>
        <w:lastRenderedPageBreak/>
        <w:t xml:space="preserve">Промяна в текста в частта 14.2.1 </w:t>
      </w:r>
      <w:r w:rsidRPr="00343AA9">
        <w:rPr>
          <w:rFonts w:ascii="Times New Roman" w:eastAsia="Times New Roman" w:hAnsi="Times New Roman" w:cs="Times New Roman"/>
          <w:kern w:val="0"/>
          <w:sz w:val="24"/>
          <w:szCs w:val="20"/>
        </w:rPr>
        <w:t xml:space="preserve">в точка </w:t>
      </w:r>
      <w:r w:rsidRPr="00343AA9">
        <w:rPr>
          <w:rFonts w:ascii="Times New Roman" w:eastAsia="Times New Roman" w:hAnsi="Times New Roman" w:cs="Times New Roman"/>
          <w:i/>
          <w:kern w:val="0"/>
          <w:sz w:val="24"/>
          <w:szCs w:val="20"/>
        </w:rPr>
        <w:t>8.2.12.3.2.2 Вид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343AA9" w:rsidRPr="00343AA9" w:rsidTr="00A54518">
        <w:tc>
          <w:tcPr>
            <w:tcW w:w="5000" w:type="pct"/>
            <w:shd w:val="clear" w:color="auto" w:fill="auto"/>
            <w:tcMar>
              <w:top w:w="20" w:type="dxa"/>
              <w:bottom w:w="20" w:type="dxa"/>
            </w:tcMar>
            <w:vAlign w:val="center"/>
          </w:tcPr>
          <w:p w:rsidR="00343AA9" w:rsidRPr="00343AA9" w:rsidRDefault="00343AA9" w:rsidP="00343AA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14.2.1 Осигуряване на свободно отглеждане на открито на ДПЖ (минимум 160 дни г</w:t>
            </w:r>
            <w:r w:rsidRPr="00343AA9">
              <w:rPr>
                <w:rFonts w:ascii="Times New Roman" w:eastAsia="Times New Roman" w:hAnsi="Times New Roman" w:cs="Times New Roman"/>
                <w:b/>
                <w:bCs/>
                <w:kern w:val="0"/>
                <w:sz w:val="24"/>
                <w:szCs w:val="24"/>
              </w:rPr>
              <w:t>о</w:t>
            </w:r>
            <w:r w:rsidRPr="00343AA9">
              <w:rPr>
                <w:rFonts w:ascii="Times New Roman" w:eastAsia="Times New Roman" w:hAnsi="Times New Roman" w:cs="Times New Roman"/>
                <w:b/>
                <w:bCs/>
                <w:kern w:val="0"/>
                <w:sz w:val="24"/>
                <w:szCs w:val="24"/>
              </w:rPr>
              <w:t>дишно, от които минимум 120 дни за свободно пашуване и 40 дни за свободно отглеждане в дворчета)</w:t>
            </w:r>
          </w:p>
          <w:p w:rsidR="00343AA9" w:rsidRPr="00343AA9" w:rsidRDefault="00343AA9" w:rsidP="00343AA9">
            <w:pPr>
              <w:widowControl/>
              <w:suppressAutoHyphens w:val="0"/>
              <w:autoSpaceDN/>
              <w:spacing w:before="240" w:after="240" w:line="240" w:lineRule="auto"/>
              <w:ind w:left="720"/>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      Свободно отглеждане минимум 160 дни годишно, от които 40 могат да бъдат на двора, но минимум 120 дни  за свободно пашуване</w:t>
            </w:r>
            <w:r w:rsidRPr="00343AA9">
              <w:rPr>
                <w:rFonts w:ascii="Times New Roman" w:eastAsia="Times New Roman" w:hAnsi="Times New Roman" w:cs="Times New Roman"/>
                <w:kern w:val="0"/>
                <w:sz w:val="24"/>
                <w:szCs w:val="20"/>
              </w:rPr>
              <w:t>.</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b/>
                <w:bCs/>
                <w:kern w:val="0"/>
                <w:sz w:val="24"/>
                <w:szCs w:val="24"/>
              </w:rPr>
            </w:pPr>
            <w:r w:rsidRPr="00343AA9">
              <w:rPr>
                <w:rFonts w:ascii="Times New Roman" w:eastAsia="Times New Roman" w:hAnsi="Times New Roman" w:cs="Times New Roman"/>
                <w:b/>
                <w:bCs/>
                <w:kern w:val="0"/>
                <w:sz w:val="24"/>
                <w:szCs w:val="24"/>
              </w:rPr>
              <w:t>14.2.2 Осигуряване на свободна подова площ (не по малко от 10% над задължителния стандарт за ДПЖ)</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b/>
                <w:bCs/>
                <w:kern w:val="0"/>
                <w:sz w:val="24"/>
                <w:szCs w:val="24"/>
              </w:rPr>
              <w:t>………………………………………………………………..</w:t>
            </w:r>
          </w:p>
        </w:tc>
      </w:tr>
    </w:tbl>
    <w:p w:rsidR="00343AA9" w:rsidRPr="00343AA9" w:rsidRDefault="00343AA9" w:rsidP="00343AA9">
      <w:pPr>
        <w:widowControl/>
        <w:suppressAutoHyphens w:val="0"/>
        <w:autoSpaceDN/>
        <w:spacing w:before="120" w:after="120" w:line="240" w:lineRule="auto"/>
        <w:ind w:left="1080"/>
        <w:contextualSpacing/>
        <w:jc w:val="both"/>
        <w:textAlignment w:val="auto"/>
        <w:rPr>
          <w:rFonts w:ascii="Times New Roman" w:eastAsia="Times New Roman" w:hAnsi="Times New Roman" w:cs="Times New Roman"/>
          <w:i/>
          <w:kern w:val="0"/>
          <w:sz w:val="24"/>
          <w:szCs w:val="20"/>
        </w:rPr>
      </w:pPr>
    </w:p>
    <w:p w:rsidR="00343AA9" w:rsidRPr="00343AA9" w:rsidRDefault="00343AA9" w:rsidP="00386C69">
      <w:pPr>
        <w:widowControl/>
        <w:numPr>
          <w:ilvl w:val="0"/>
          <w:numId w:val="65"/>
        </w:numPr>
        <w:suppressAutoHyphens w:val="0"/>
        <w:autoSpaceDN/>
        <w:spacing w:before="120" w:after="120" w:line="240" w:lineRule="auto"/>
        <w:contextualSpacing/>
        <w:jc w:val="both"/>
        <w:textAlignment w:val="auto"/>
        <w:rPr>
          <w:rFonts w:ascii="Times New Roman" w:eastAsia="Times New Roman" w:hAnsi="Times New Roman" w:cs="Times New Roman"/>
          <w:i/>
          <w:kern w:val="0"/>
          <w:sz w:val="24"/>
          <w:szCs w:val="20"/>
        </w:rPr>
      </w:pPr>
      <w:r w:rsidRPr="00343AA9">
        <w:rPr>
          <w:rFonts w:ascii="Times New Roman" w:eastAsia="Times New Roman" w:hAnsi="Times New Roman" w:cs="Times New Roman"/>
          <w:kern w:val="0"/>
          <w:sz w:val="24"/>
          <w:szCs w:val="20"/>
        </w:rPr>
        <w:t>Прецизиране на текстове, свързани с предложената промяна в продължителността на изпълн</w:t>
      </w:r>
      <w:r w:rsidRPr="00343AA9">
        <w:rPr>
          <w:rFonts w:ascii="Times New Roman" w:eastAsia="Times New Roman" w:hAnsi="Times New Roman" w:cs="Times New Roman"/>
          <w:kern w:val="0"/>
          <w:sz w:val="24"/>
          <w:szCs w:val="20"/>
        </w:rPr>
        <w:t>я</w:t>
      </w:r>
      <w:r w:rsidRPr="00343AA9">
        <w:rPr>
          <w:rFonts w:ascii="Times New Roman" w:eastAsia="Times New Roman" w:hAnsi="Times New Roman" w:cs="Times New Roman"/>
          <w:kern w:val="0"/>
          <w:sz w:val="24"/>
          <w:szCs w:val="20"/>
        </w:rPr>
        <w:t xml:space="preserve">вания ангажимент. В точка </w:t>
      </w:r>
      <w:r w:rsidRPr="00343AA9">
        <w:rPr>
          <w:rFonts w:ascii="Times New Roman" w:eastAsia="Times New Roman" w:hAnsi="Times New Roman" w:cs="Times New Roman"/>
          <w:i/>
          <w:kern w:val="0"/>
          <w:sz w:val="24"/>
          <w:szCs w:val="20"/>
        </w:rPr>
        <w:t>8.2.12.3.1.6 Условия за допустимост и точка 8.2.12.3.2.6</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343AA9" w:rsidRPr="00343AA9" w:rsidTr="00A54518">
        <w:tc>
          <w:tcPr>
            <w:tcW w:w="450" w:type="pct"/>
            <w:shd w:val="clear" w:color="auto" w:fill="auto"/>
            <w:tcMar>
              <w:top w:w="20" w:type="dxa"/>
              <w:bottom w:w="20" w:type="dxa"/>
            </w:tcMar>
            <w:vAlign w:val="center"/>
          </w:tcPr>
          <w:p w:rsidR="00343AA9" w:rsidRPr="00343AA9" w:rsidRDefault="00343AA9" w:rsidP="00343AA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Изисквания към кандидатите:</w:t>
            </w:r>
          </w:p>
          <w:p w:rsidR="00343AA9" w:rsidRPr="00343AA9" w:rsidRDefault="00343AA9" w:rsidP="00386C69">
            <w:pPr>
              <w:widowControl/>
              <w:numPr>
                <w:ilvl w:val="0"/>
                <w:numId w:val="62"/>
              </w:numPr>
              <w:suppressAutoHyphens w:val="0"/>
              <w:autoSpaceDN/>
              <w:spacing w:before="240" w:after="0" w:line="240" w:lineRule="auto"/>
              <w:ind w:hanging="210"/>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Да са регистрирани по реда на Закона за подпомагане на земеделските производители;</w:t>
            </w:r>
          </w:p>
          <w:p w:rsidR="00343AA9" w:rsidRPr="00343AA9" w:rsidRDefault="00343AA9" w:rsidP="00386C69">
            <w:pPr>
              <w:widowControl/>
              <w:numPr>
                <w:ilvl w:val="0"/>
                <w:numId w:val="62"/>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Стопанисваните от тях животновъдни обекти да са регистрирани по реда на чл. 137 от ЗВД;</w:t>
            </w:r>
          </w:p>
          <w:p w:rsidR="00343AA9" w:rsidRPr="00343AA9" w:rsidRDefault="00343AA9" w:rsidP="00386C69">
            <w:pPr>
              <w:widowControl/>
              <w:numPr>
                <w:ilvl w:val="0"/>
                <w:numId w:val="62"/>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Да отговарят на дефиницията за активен фермер съгласно чл. 9 от Регламент (ЕС) № 1307/2013 г. в съответствие с изискването на чл. 33, пар. 1 от Регламент (ЕС) № 1305/2013 г.</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Помощта се отпуска за покриване на допълнителни разходи или пропуснати доходи, свързани с изпълнение на доброволни ангажименти.</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Помощта покрива само онези задължения, които надвишават задължителните стандарти и други задължителни изисквания, наложени чрез националното законодателство за съответния животновъден обект.</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Поетите ангажименти се изпълняват за срок от една година.  Спазването на изискванията по отношение на поетите ангажименти ще подлежат на проверка ежегодно.</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4"/>
              </w:rPr>
              <w:t>Разходи, извършени от кандидати земеделски производители, свързани със закупуването и и</w:t>
            </w:r>
            <w:r w:rsidRPr="00343AA9">
              <w:rPr>
                <w:rFonts w:ascii="Times New Roman" w:eastAsia="Times New Roman" w:hAnsi="Times New Roman" w:cs="Times New Roman"/>
                <w:kern w:val="0"/>
                <w:sz w:val="24"/>
                <w:szCs w:val="24"/>
              </w:rPr>
              <w:t>з</w:t>
            </w:r>
            <w:r w:rsidRPr="00343AA9">
              <w:rPr>
                <w:rFonts w:ascii="Times New Roman" w:eastAsia="Times New Roman" w:hAnsi="Times New Roman" w:cs="Times New Roman"/>
                <w:kern w:val="0"/>
                <w:sz w:val="24"/>
                <w:szCs w:val="24"/>
              </w:rPr>
              <w:t>ползването на лекарства и ваксинации не се допустими за подпомагане по реда на тази мярка.</w:t>
            </w:r>
          </w:p>
        </w:tc>
      </w:tr>
    </w:tbl>
    <w:p w:rsidR="00343AA9" w:rsidRPr="00343AA9" w:rsidRDefault="00343AA9" w:rsidP="00343AA9">
      <w:pPr>
        <w:widowControl/>
        <w:tabs>
          <w:tab w:val="left" w:pos="993"/>
        </w:tabs>
        <w:suppressAutoHyphens w:val="0"/>
        <w:autoSpaceDN/>
        <w:spacing w:before="240" w:after="240" w:line="240" w:lineRule="auto"/>
        <w:ind w:left="720"/>
        <w:contextualSpacing/>
        <w:jc w:val="both"/>
        <w:textAlignment w:val="auto"/>
        <w:rPr>
          <w:rFonts w:ascii="Times New Roman" w:eastAsia="Times New Roman" w:hAnsi="Times New Roman" w:cs="Times New Roman"/>
          <w:kern w:val="0"/>
          <w:sz w:val="24"/>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343AA9" w:rsidRPr="00343AA9" w:rsidTr="00A54518">
        <w:tc>
          <w:tcPr>
            <w:tcW w:w="5000" w:type="pct"/>
            <w:shd w:val="clear" w:color="auto" w:fill="auto"/>
            <w:tcMar>
              <w:top w:w="20" w:type="dxa"/>
              <w:bottom w:w="20" w:type="dxa"/>
            </w:tcMar>
            <w:vAlign w:val="center"/>
          </w:tcPr>
          <w:p w:rsidR="00343AA9" w:rsidRPr="00343AA9" w:rsidRDefault="00343AA9" w:rsidP="00343AA9">
            <w:pPr>
              <w:widowControl/>
              <w:suppressAutoHyphens w:val="0"/>
              <w:autoSpaceDN/>
              <w:spacing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Изисквания към кандидатите:</w:t>
            </w:r>
          </w:p>
          <w:p w:rsidR="00343AA9" w:rsidRPr="00343AA9" w:rsidRDefault="00343AA9" w:rsidP="00386C69">
            <w:pPr>
              <w:widowControl/>
              <w:numPr>
                <w:ilvl w:val="0"/>
                <w:numId w:val="63"/>
              </w:numPr>
              <w:suppressAutoHyphens w:val="0"/>
              <w:autoSpaceDN/>
              <w:spacing w:before="240" w:after="0" w:line="240" w:lineRule="auto"/>
              <w:ind w:hanging="210"/>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Да са регистрирани по реда на Закона за подпомагане на земеделските производители;</w:t>
            </w:r>
          </w:p>
          <w:p w:rsidR="00343AA9" w:rsidRPr="00343AA9" w:rsidRDefault="00343AA9" w:rsidP="00386C69">
            <w:pPr>
              <w:widowControl/>
              <w:numPr>
                <w:ilvl w:val="0"/>
                <w:numId w:val="63"/>
              </w:numPr>
              <w:suppressAutoHyphens w:val="0"/>
              <w:autoSpaceDN/>
              <w:spacing w:before="120" w:after="0" w:line="240" w:lineRule="auto"/>
              <w:ind w:hanging="210"/>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Стопанисваните от тях животновъдни обекти да са регистрирани по реда на чл. 137 от ЗВД;</w:t>
            </w:r>
          </w:p>
          <w:p w:rsidR="00343AA9" w:rsidRPr="00343AA9" w:rsidRDefault="00343AA9" w:rsidP="00386C69">
            <w:pPr>
              <w:widowControl/>
              <w:numPr>
                <w:ilvl w:val="0"/>
                <w:numId w:val="63"/>
              </w:numPr>
              <w:suppressAutoHyphens w:val="0"/>
              <w:autoSpaceDN/>
              <w:spacing w:before="120" w:after="240" w:line="240" w:lineRule="auto"/>
              <w:ind w:hanging="210"/>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lastRenderedPageBreak/>
              <w:t>Да отговарят на дефиницията за активен фермер съгласно чл. 9 от Регламент (ЕС) № 1307/2013 г. в съответствие с изискването на чл. 33, пар. 1 от Регламент (ЕС) № 1305/2013 г.</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Помощта се отпуска за покриване на допълнителни разходи или пропуснати доходи, свързани с изпълнение на доброволни ангажименти.</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Помощта покрива само онези задължения, които надвишават задължителните стандарти и други задължителни изисквания, наложени чрез националното законодателство за съответния животновъден обект.</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Поетите ангажименти се изпълняват за срок от една година  Спазването на изискванията по отношение на поетите ангажименти ще подлежат на проверка ежегодно.</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Разходи, извършени от кандидати земеделски производители, свързани със закупуването и и</w:t>
            </w:r>
            <w:r w:rsidRPr="00343AA9">
              <w:rPr>
                <w:rFonts w:ascii="Times New Roman" w:eastAsia="Times New Roman" w:hAnsi="Times New Roman" w:cs="Times New Roman"/>
                <w:kern w:val="0"/>
                <w:sz w:val="24"/>
                <w:szCs w:val="24"/>
              </w:rPr>
              <w:t>з</w:t>
            </w:r>
            <w:r w:rsidRPr="00343AA9">
              <w:rPr>
                <w:rFonts w:ascii="Times New Roman" w:eastAsia="Times New Roman" w:hAnsi="Times New Roman" w:cs="Times New Roman"/>
                <w:kern w:val="0"/>
                <w:sz w:val="24"/>
                <w:szCs w:val="24"/>
              </w:rPr>
              <w:t>ползването на лекарства и ваксинации не се допустими за подпомагане по реда на тази мярка.</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Компенсации по мярката се предоставят само за допълнителни разходи и пропуснати ползи.</w:t>
            </w:r>
          </w:p>
          <w:p w:rsidR="00343AA9" w:rsidRPr="00343AA9" w:rsidRDefault="00343AA9" w:rsidP="00343AA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343AA9" w:rsidRPr="00343AA9" w:rsidRDefault="00343AA9" w:rsidP="00343AA9">
      <w:pPr>
        <w:widowControl/>
        <w:tabs>
          <w:tab w:val="left" w:pos="993"/>
        </w:tabs>
        <w:suppressAutoHyphens w:val="0"/>
        <w:autoSpaceDN/>
        <w:spacing w:before="240" w:after="240" w:line="240" w:lineRule="auto"/>
        <w:ind w:left="720"/>
        <w:contextualSpacing/>
        <w:jc w:val="both"/>
        <w:textAlignment w:val="auto"/>
        <w:rPr>
          <w:rFonts w:ascii="Times New Roman" w:eastAsia="Times New Roman" w:hAnsi="Times New Roman" w:cs="Times New Roman"/>
          <w:kern w:val="0"/>
          <w:sz w:val="24"/>
          <w:szCs w:val="20"/>
        </w:rPr>
      </w:pPr>
    </w:p>
    <w:p w:rsidR="00343AA9" w:rsidRPr="00343AA9" w:rsidRDefault="00343AA9" w:rsidP="00343AA9">
      <w:pPr>
        <w:widowControl/>
        <w:tabs>
          <w:tab w:val="left" w:pos="993"/>
        </w:tabs>
        <w:suppressAutoHyphens w:val="0"/>
        <w:autoSpaceDN/>
        <w:spacing w:before="240" w:after="240" w:line="240" w:lineRule="auto"/>
        <w:ind w:left="720"/>
        <w:contextualSpacing/>
        <w:jc w:val="both"/>
        <w:textAlignment w:val="auto"/>
        <w:rPr>
          <w:rFonts w:ascii="Times New Roman" w:eastAsia="Times New Roman" w:hAnsi="Times New Roman" w:cs="Times New Roman"/>
          <w:kern w:val="0"/>
          <w:sz w:val="24"/>
          <w:szCs w:val="20"/>
        </w:rPr>
      </w:pPr>
    </w:p>
    <w:p w:rsidR="00343AA9" w:rsidRPr="00343AA9" w:rsidRDefault="00343AA9" w:rsidP="00386C69">
      <w:pPr>
        <w:widowControl/>
        <w:numPr>
          <w:ilvl w:val="0"/>
          <w:numId w:val="65"/>
        </w:numPr>
        <w:tabs>
          <w:tab w:val="left" w:pos="993"/>
        </w:tabs>
        <w:suppressAutoHyphens w:val="0"/>
        <w:autoSpaceDN/>
        <w:spacing w:before="240" w:after="240" w:line="240" w:lineRule="auto"/>
        <w:ind w:firstLine="720"/>
        <w:contextualSpacing/>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0"/>
        </w:rPr>
        <w:t xml:space="preserve">В точка </w:t>
      </w:r>
      <w:r w:rsidRPr="00343AA9">
        <w:rPr>
          <w:rFonts w:ascii="Times New Roman" w:eastAsia="Times New Roman" w:hAnsi="Times New Roman" w:cs="Times New Roman"/>
          <w:i/>
          <w:kern w:val="0"/>
          <w:sz w:val="24"/>
          <w:szCs w:val="20"/>
        </w:rPr>
        <w:t>8.2.12.3.1.10 Специфична информация за операцията</w:t>
      </w:r>
      <w:r w:rsidRPr="00343AA9">
        <w:rPr>
          <w:rFonts w:ascii="Times New Roman" w:eastAsia="Times New Roman" w:hAnsi="Times New Roman" w:cs="Times New Roman"/>
          <w:kern w:val="0"/>
          <w:sz w:val="24"/>
          <w:szCs w:val="20"/>
        </w:rPr>
        <w:t xml:space="preserve"> - Допълнение на тек</w:t>
      </w:r>
      <w:r w:rsidRPr="00343AA9">
        <w:rPr>
          <w:rFonts w:ascii="Times New Roman" w:eastAsia="Times New Roman" w:hAnsi="Times New Roman" w:cs="Times New Roman"/>
          <w:kern w:val="0"/>
          <w:sz w:val="24"/>
          <w:szCs w:val="20"/>
        </w:rPr>
        <w:t>с</w:t>
      </w:r>
      <w:r w:rsidRPr="00343AA9">
        <w:rPr>
          <w:rFonts w:ascii="Times New Roman" w:eastAsia="Times New Roman" w:hAnsi="Times New Roman" w:cs="Times New Roman"/>
          <w:kern w:val="0"/>
          <w:sz w:val="24"/>
          <w:szCs w:val="20"/>
        </w:rPr>
        <w:t>товете за базови изисквания към дейностите за осигуряване на свободно отглеждане на откр</w:t>
      </w:r>
      <w:r w:rsidRPr="00343AA9">
        <w:rPr>
          <w:rFonts w:ascii="Times New Roman" w:eastAsia="Times New Roman" w:hAnsi="Times New Roman" w:cs="Times New Roman"/>
          <w:kern w:val="0"/>
          <w:sz w:val="24"/>
          <w:szCs w:val="20"/>
        </w:rPr>
        <w:t>и</w:t>
      </w:r>
      <w:r w:rsidRPr="00343AA9">
        <w:rPr>
          <w:rFonts w:ascii="Times New Roman" w:eastAsia="Times New Roman" w:hAnsi="Times New Roman" w:cs="Times New Roman"/>
          <w:kern w:val="0"/>
          <w:sz w:val="24"/>
          <w:szCs w:val="20"/>
        </w:rPr>
        <w:t>то за поддържане на гъстота на животинските единици на цялата пасищна площ на стопанс</w:t>
      </w:r>
      <w:r w:rsidRPr="00343AA9">
        <w:rPr>
          <w:rFonts w:ascii="Times New Roman" w:eastAsia="Times New Roman" w:hAnsi="Times New Roman" w:cs="Times New Roman"/>
          <w:kern w:val="0"/>
          <w:sz w:val="24"/>
          <w:szCs w:val="20"/>
        </w:rPr>
        <w:t>т</w:t>
      </w:r>
      <w:r w:rsidRPr="00343AA9">
        <w:rPr>
          <w:rFonts w:ascii="Times New Roman" w:eastAsia="Times New Roman" w:hAnsi="Times New Roman" w:cs="Times New Roman"/>
          <w:kern w:val="0"/>
          <w:sz w:val="24"/>
          <w:szCs w:val="20"/>
        </w:rPr>
        <w:t>вото, ползвана от кандидата по мярката, на която се извършва пашата, до не повече от 2 ЖЕ/ха. Промяната цели да се ограничи замърсяването на почвите и водите с оборски тор, пр</w:t>
      </w:r>
      <w:r w:rsidRPr="00343AA9">
        <w:rPr>
          <w:rFonts w:ascii="Times New Roman" w:eastAsia="Times New Roman" w:hAnsi="Times New Roman" w:cs="Times New Roman"/>
          <w:kern w:val="0"/>
          <w:sz w:val="24"/>
          <w:szCs w:val="20"/>
        </w:rPr>
        <w:t>о</w:t>
      </w:r>
      <w:r w:rsidRPr="00343AA9">
        <w:rPr>
          <w:rFonts w:ascii="Times New Roman" w:eastAsia="Times New Roman" w:hAnsi="Times New Roman" w:cs="Times New Roman"/>
          <w:kern w:val="0"/>
          <w:sz w:val="24"/>
          <w:szCs w:val="20"/>
        </w:rPr>
        <w:t>изтичащо от извършваната дейност върху пасищни площи в стопанството на кандидата</w:t>
      </w:r>
      <w:r w:rsidRPr="00343AA9">
        <w:rPr>
          <w:rFonts w:ascii="Times New Roman" w:eastAsia="Times New Roman" w:hAnsi="Times New Roman" w:cs="Times New Roman"/>
          <w:kern w:val="0"/>
          <w:sz w:val="24"/>
          <w:szCs w:val="20"/>
          <w:lang w:val="en-US"/>
        </w:rPr>
        <w:t xml:space="preserve">, </w:t>
      </w:r>
      <w:r w:rsidRPr="00343AA9">
        <w:rPr>
          <w:rFonts w:ascii="Times New Roman" w:eastAsia="Times New Roman" w:hAnsi="Times New Roman" w:cs="Times New Roman"/>
          <w:kern w:val="0"/>
          <w:sz w:val="24"/>
          <w:szCs w:val="20"/>
        </w:rPr>
        <w:t>като изискването е част от националното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343AA9" w:rsidRPr="00343AA9" w:rsidTr="00A54518">
        <w:tc>
          <w:tcPr>
            <w:tcW w:w="5000" w:type="pct"/>
            <w:shd w:val="clear" w:color="auto" w:fill="auto"/>
            <w:tcMar>
              <w:top w:w="20" w:type="dxa"/>
              <w:bottom w:w="20" w:type="dxa"/>
            </w:tcMar>
            <w:vAlign w:val="center"/>
          </w:tcPr>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 xml:space="preserve">14.1.2 Осигуряване на свободно отглеждане на открито - </w:t>
            </w:r>
            <w:r w:rsidRPr="00343AA9">
              <w:rPr>
                <w:rFonts w:ascii="Times New Roman" w:eastAsia="Times New Roman" w:hAnsi="Times New Roman" w:cs="Times New Roman"/>
                <w:kern w:val="0"/>
                <w:sz w:val="24"/>
                <w:szCs w:val="24"/>
              </w:rPr>
              <w:t>спрямо сезонните особености в страната свободното отглеждане е в рамките на 140 дни, от които 110 дни за свободно паш</w:t>
            </w:r>
            <w:r w:rsidRPr="00343AA9">
              <w:rPr>
                <w:rFonts w:ascii="Times New Roman" w:eastAsia="Times New Roman" w:hAnsi="Times New Roman" w:cs="Times New Roman"/>
                <w:kern w:val="0"/>
                <w:sz w:val="24"/>
                <w:szCs w:val="24"/>
              </w:rPr>
              <w:t>у</w:t>
            </w:r>
            <w:r w:rsidRPr="00343AA9">
              <w:rPr>
                <w:rFonts w:ascii="Times New Roman" w:eastAsia="Times New Roman" w:hAnsi="Times New Roman" w:cs="Times New Roman"/>
                <w:kern w:val="0"/>
                <w:sz w:val="24"/>
                <w:szCs w:val="24"/>
              </w:rPr>
              <w:t xml:space="preserve">ване и 30 дни свободно отглеждане в дворчета. </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color w:val="000000"/>
                <w:kern w:val="0"/>
                <w:sz w:val="24"/>
                <w:szCs w:val="20"/>
              </w:rPr>
              <w:t>Земеделски стопани, които заявяват подпомагане за свободно отглеждане на открито, по</w:t>
            </w:r>
            <w:r w:rsidRPr="00343AA9">
              <w:rPr>
                <w:rFonts w:ascii="Times New Roman" w:eastAsia="Times New Roman" w:hAnsi="Times New Roman" w:cs="Times New Roman"/>
                <w:color w:val="000000"/>
                <w:kern w:val="0"/>
                <w:sz w:val="24"/>
                <w:szCs w:val="20"/>
              </w:rPr>
              <w:t>д</w:t>
            </w:r>
            <w:r w:rsidRPr="00343AA9">
              <w:rPr>
                <w:rFonts w:ascii="Times New Roman" w:eastAsia="Times New Roman" w:hAnsi="Times New Roman" w:cs="Times New Roman"/>
                <w:color w:val="000000"/>
                <w:kern w:val="0"/>
                <w:sz w:val="24"/>
                <w:szCs w:val="20"/>
              </w:rPr>
              <w:t>държат гъстота на животинските единици на цялата пасищна площ на стопанството, ползвана от кандидата, на която се извършва пашата, до не повече от 2 ЖЕ/хектар.</w:t>
            </w:r>
          </w:p>
          <w:p w:rsidR="00343AA9" w:rsidRPr="00343AA9" w:rsidRDefault="00343AA9" w:rsidP="00343AA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343AA9" w:rsidRPr="00343AA9" w:rsidRDefault="00343AA9" w:rsidP="00343AA9">
      <w:pPr>
        <w:widowControl/>
        <w:suppressAutoHyphens w:val="0"/>
        <w:autoSpaceDN/>
        <w:spacing w:before="120" w:after="120" w:line="240" w:lineRule="auto"/>
        <w:ind w:firstLine="720"/>
        <w:contextualSpacing/>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0"/>
        </w:rPr>
        <w:t xml:space="preserve">В точка </w:t>
      </w:r>
      <w:r w:rsidRPr="00343AA9">
        <w:rPr>
          <w:rFonts w:ascii="Times New Roman" w:eastAsia="Times New Roman" w:hAnsi="Times New Roman" w:cs="Times New Roman"/>
          <w:i/>
          <w:kern w:val="0"/>
          <w:sz w:val="24"/>
          <w:szCs w:val="20"/>
        </w:rPr>
        <w:t>8.2.12.3.2.10 Специфична информация за операцията</w:t>
      </w:r>
      <w:r w:rsidRPr="00343AA9">
        <w:rPr>
          <w:rFonts w:ascii="Times New Roman" w:eastAsia="Times New Roman" w:hAnsi="Times New Roman" w:cs="Times New Roman"/>
          <w:kern w:val="0"/>
          <w:sz w:val="24"/>
          <w:szCs w:val="20"/>
        </w:rPr>
        <w:t xml:space="preserve"> - Допълнение на текст</w:t>
      </w:r>
      <w:r w:rsidRPr="00343AA9">
        <w:rPr>
          <w:rFonts w:ascii="Times New Roman" w:eastAsia="Times New Roman" w:hAnsi="Times New Roman" w:cs="Times New Roman"/>
          <w:kern w:val="0"/>
          <w:sz w:val="24"/>
          <w:szCs w:val="20"/>
        </w:rPr>
        <w:t>о</w:t>
      </w:r>
      <w:r w:rsidRPr="00343AA9">
        <w:rPr>
          <w:rFonts w:ascii="Times New Roman" w:eastAsia="Times New Roman" w:hAnsi="Times New Roman" w:cs="Times New Roman"/>
          <w:kern w:val="0"/>
          <w:sz w:val="24"/>
          <w:szCs w:val="20"/>
        </w:rPr>
        <w:t>вете за базови изисквания към дейностите за осигуряване на свободно отглеждане на открито за поддържане на гъстота на животинските единици на цялата пасищна площ на стопанството, ползвана от кандидата по мярката, на която се извършва пашата, до не повече от 2 ЖЕ/ха. Промяната цели да се ограничи замърсяването на почвите и водите с оборски тор, произтич</w:t>
      </w:r>
      <w:r w:rsidRPr="00343AA9">
        <w:rPr>
          <w:rFonts w:ascii="Times New Roman" w:eastAsia="Times New Roman" w:hAnsi="Times New Roman" w:cs="Times New Roman"/>
          <w:kern w:val="0"/>
          <w:sz w:val="24"/>
          <w:szCs w:val="20"/>
        </w:rPr>
        <w:t>а</w:t>
      </w:r>
      <w:r w:rsidRPr="00343AA9">
        <w:rPr>
          <w:rFonts w:ascii="Times New Roman" w:eastAsia="Times New Roman" w:hAnsi="Times New Roman" w:cs="Times New Roman"/>
          <w:kern w:val="0"/>
          <w:sz w:val="24"/>
          <w:szCs w:val="20"/>
        </w:rPr>
        <w:t>що от извършваната дейност върху пасищни площи в стопанството на кандидата</w:t>
      </w:r>
      <w:r w:rsidRPr="00343AA9">
        <w:rPr>
          <w:rFonts w:ascii="Times New Roman" w:eastAsia="Times New Roman" w:hAnsi="Times New Roman" w:cs="Times New Roman"/>
          <w:kern w:val="0"/>
          <w:sz w:val="24"/>
          <w:szCs w:val="20"/>
          <w:lang w:val="en-US"/>
        </w:rPr>
        <w:t xml:space="preserve">, </w:t>
      </w:r>
      <w:r w:rsidRPr="00343AA9">
        <w:rPr>
          <w:rFonts w:ascii="Times New Roman" w:eastAsia="Times New Roman" w:hAnsi="Times New Roman" w:cs="Times New Roman"/>
          <w:kern w:val="0"/>
          <w:sz w:val="24"/>
          <w:szCs w:val="20"/>
        </w:rPr>
        <w:t>като изис</w:t>
      </w:r>
      <w:r w:rsidRPr="00343AA9">
        <w:rPr>
          <w:rFonts w:ascii="Times New Roman" w:eastAsia="Times New Roman" w:hAnsi="Times New Roman" w:cs="Times New Roman"/>
          <w:kern w:val="0"/>
          <w:sz w:val="24"/>
          <w:szCs w:val="20"/>
        </w:rPr>
        <w:t>к</w:t>
      </w:r>
      <w:r w:rsidRPr="00343AA9">
        <w:rPr>
          <w:rFonts w:ascii="Times New Roman" w:eastAsia="Times New Roman" w:hAnsi="Times New Roman" w:cs="Times New Roman"/>
          <w:kern w:val="0"/>
          <w:sz w:val="24"/>
          <w:szCs w:val="20"/>
        </w:rPr>
        <w:t>ването е част от националното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343AA9" w:rsidRPr="00343AA9" w:rsidTr="00A54518">
        <w:tc>
          <w:tcPr>
            <w:tcW w:w="450" w:type="pct"/>
            <w:shd w:val="clear" w:color="auto" w:fill="auto"/>
            <w:tcMar>
              <w:top w:w="20" w:type="dxa"/>
              <w:bottom w:w="20" w:type="dxa"/>
            </w:tcMar>
            <w:vAlign w:val="center"/>
          </w:tcPr>
          <w:p w:rsidR="00343AA9" w:rsidRPr="00343AA9" w:rsidRDefault="00343AA9" w:rsidP="00343AA9">
            <w:pPr>
              <w:widowControl/>
              <w:suppressAutoHyphens w:val="0"/>
              <w:autoSpaceDN/>
              <w:spacing w:after="240" w:line="240" w:lineRule="auto"/>
              <w:ind w:left="720"/>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      Директива 1998/58/ЕО на Съвета от 20 юли 1998 г. относно защита на животните, отглеждани за селскостопански цели;</w:t>
            </w:r>
          </w:p>
          <w:p w:rsidR="00343AA9" w:rsidRPr="00343AA9" w:rsidRDefault="00343AA9" w:rsidP="00343AA9">
            <w:pPr>
              <w:widowControl/>
              <w:suppressAutoHyphens w:val="0"/>
              <w:autoSpaceDN/>
              <w:spacing w:before="240" w:after="240" w:line="240" w:lineRule="auto"/>
              <w:ind w:left="720"/>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      Наредба № 16 от 3 февруари 2006 г. за защита и хуманно отношение при отгле</w:t>
            </w:r>
            <w:r w:rsidRPr="00343AA9">
              <w:rPr>
                <w:rFonts w:ascii="Times New Roman" w:eastAsia="Times New Roman" w:hAnsi="Times New Roman" w:cs="Times New Roman"/>
                <w:kern w:val="0"/>
                <w:sz w:val="24"/>
                <w:szCs w:val="24"/>
              </w:rPr>
              <w:t>ж</w:t>
            </w:r>
            <w:r w:rsidRPr="00343AA9">
              <w:rPr>
                <w:rFonts w:ascii="Times New Roman" w:eastAsia="Times New Roman" w:hAnsi="Times New Roman" w:cs="Times New Roman"/>
                <w:kern w:val="0"/>
                <w:sz w:val="24"/>
                <w:szCs w:val="24"/>
              </w:rPr>
              <w:lastRenderedPageBreak/>
              <w:t>дане и използване на селскостопански животни;</w:t>
            </w:r>
          </w:p>
          <w:p w:rsidR="00343AA9" w:rsidRPr="00343AA9" w:rsidRDefault="00343AA9" w:rsidP="00343AA9">
            <w:pPr>
              <w:widowControl/>
              <w:suppressAutoHyphens w:val="0"/>
              <w:autoSpaceDN/>
              <w:spacing w:before="240" w:after="240" w:line="240" w:lineRule="auto"/>
              <w:ind w:left="720"/>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      Наредба № 44 от 20 април 2006 г. за ветеринарномедицинските изисквания към животновъдните обекти.</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Минимални стандарти/основни изисквания, база за подпомаганите дейности по подмя</w:t>
            </w:r>
            <w:r w:rsidRPr="00343AA9">
              <w:rPr>
                <w:rFonts w:ascii="Times New Roman" w:eastAsia="Times New Roman" w:hAnsi="Times New Roman" w:cs="Times New Roman"/>
                <w:b/>
                <w:bCs/>
                <w:kern w:val="0"/>
                <w:sz w:val="24"/>
                <w:szCs w:val="24"/>
              </w:rPr>
              <w:t>р</w:t>
            </w:r>
            <w:r w:rsidRPr="00343AA9">
              <w:rPr>
                <w:rFonts w:ascii="Times New Roman" w:eastAsia="Times New Roman" w:hAnsi="Times New Roman" w:cs="Times New Roman"/>
                <w:b/>
                <w:bCs/>
                <w:kern w:val="0"/>
                <w:sz w:val="24"/>
                <w:szCs w:val="24"/>
              </w:rPr>
              <w:t>ката:</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14.2.1 Осигуряване на свободно отглеждане на открито (спрямо сезонните особености в стр</w:t>
            </w:r>
            <w:r w:rsidRPr="00343AA9">
              <w:rPr>
                <w:rFonts w:ascii="Times New Roman" w:eastAsia="Times New Roman" w:hAnsi="Times New Roman" w:cs="Times New Roman"/>
                <w:kern w:val="0"/>
                <w:sz w:val="24"/>
                <w:szCs w:val="24"/>
              </w:rPr>
              <w:t>а</w:t>
            </w:r>
            <w:r w:rsidRPr="00343AA9">
              <w:rPr>
                <w:rFonts w:ascii="Times New Roman" w:eastAsia="Times New Roman" w:hAnsi="Times New Roman" w:cs="Times New Roman"/>
                <w:kern w:val="0"/>
                <w:sz w:val="24"/>
                <w:szCs w:val="24"/>
              </w:rPr>
              <w:t xml:space="preserve">ната свободното отглеждане е в рамките на 140 дни, от които 110 дни за свободно пашуване и 30 дни свободно отглеждане в дворчета). </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color w:val="000000"/>
                <w:kern w:val="0"/>
                <w:sz w:val="24"/>
                <w:szCs w:val="20"/>
              </w:rPr>
              <w:t>Земеделски стопани, които заявяват подпомагане за свободно отглеждане на открито, по</w:t>
            </w:r>
            <w:r w:rsidRPr="00343AA9">
              <w:rPr>
                <w:rFonts w:ascii="Times New Roman" w:eastAsia="Times New Roman" w:hAnsi="Times New Roman" w:cs="Times New Roman"/>
                <w:color w:val="000000"/>
                <w:kern w:val="0"/>
                <w:sz w:val="24"/>
                <w:szCs w:val="20"/>
              </w:rPr>
              <w:t>д</w:t>
            </w:r>
            <w:r w:rsidRPr="00343AA9">
              <w:rPr>
                <w:rFonts w:ascii="Times New Roman" w:eastAsia="Times New Roman" w:hAnsi="Times New Roman" w:cs="Times New Roman"/>
                <w:color w:val="000000"/>
                <w:kern w:val="0"/>
                <w:sz w:val="24"/>
                <w:szCs w:val="20"/>
              </w:rPr>
              <w:t>държат гъстота на животинските единици на цялата пасищна площ на стопанството, ползвана от кандидата, на която се извършва пашата, до не повече от 2 ЖЕ/хектар.</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14.2.2 Осигуряване на свободна подова площ:</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w:t>
            </w:r>
          </w:p>
          <w:p w:rsidR="00343AA9" w:rsidRPr="00343AA9" w:rsidRDefault="00343AA9" w:rsidP="00343AA9">
            <w:pPr>
              <w:widowControl/>
              <w:suppressAutoHyphens w:val="0"/>
              <w:autoSpaceDN/>
              <w:spacing w:before="120" w:after="120" w:line="240" w:lineRule="auto"/>
              <w:jc w:val="both"/>
              <w:textAlignment w:val="auto"/>
              <w:rPr>
                <w:rFonts w:ascii="Times New Roman" w:eastAsia="Times New Roman" w:hAnsi="Times New Roman" w:cs="Times New Roman"/>
                <w:kern w:val="0"/>
                <w:sz w:val="24"/>
                <w:szCs w:val="20"/>
              </w:rPr>
            </w:pPr>
          </w:p>
        </w:tc>
      </w:tr>
    </w:tbl>
    <w:p w:rsidR="00343AA9" w:rsidRPr="00343AA9" w:rsidRDefault="00343AA9" w:rsidP="00386C69">
      <w:pPr>
        <w:widowControl/>
        <w:numPr>
          <w:ilvl w:val="0"/>
          <w:numId w:val="65"/>
        </w:numPr>
        <w:tabs>
          <w:tab w:val="left" w:pos="993"/>
        </w:tabs>
        <w:suppressAutoHyphens w:val="0"/>
        <w:autoSpaceDN/>
        <w:spacing w:before="240" w:after="240" w:line="240" w:lineRule="auto"/>
        <w:ind w:firstLine="720"/>
        <w:contextualSpacing/>
        <w:jc w:val="both"/>
        <w:textAlignment w:val="auto"/>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0"/>
        </w:rPr>
        <w:lastRenderedPageBreak/>
        <w:t xml:space="preserve">В точка </w:t>
      </w:r>
      <w:r w:rsidRPr="00343AA9">
        <w:rPr>
          <w:rFonts w:ascii="Times New Roman" w:eastAsia="Times New Roman" w:hAnsi="Times New Roman" w:cs="Times New Roman"/>
          <w:i/>
          <w:kern w:val="0"/>
          <w:sz w:val="24"/>
          <w:szCs w:val="20"/>
        </w:rPr>
        <w:t>8.2.12.4.2 Действия за смекчаване на последиците</w:t>
      </w:r>
      <w:r w:rsidRPr="00343AA9">
        <w:rPr>
          <w:rFonts w:ascii="Times New Roman" w:eastAsia="Times New Roman" w:hAnsi="Times New Roman" w:cs="Times New Roman"/>
          <w:kern w:val="0"/>
          <w:sz w:val="24"/>
          <w:szCs w:val="24"/>
        </w:rPr>
        <w:t xml:space="preserve"> се унифицират изискв</w:t>
      </w:r>
      <w:r w:rsidRPr="00343AA9">
        <w:rPr>
          <w:rFonts w:ascii="Times New Roman" w:eastAsia="Times New Roman" w:hAnsi="Times New Roman" w:cs="Times New Roman"/>
          <w:kern w:val="0"/>
          <w:sz w:val="24"/>
          <w:szCs w:val="24"/>
        </w:rPr>
        <w:t>а</w:t>
      </w:r>
      <w:r w:rsidRPr="00343AA9">
        <w:rPr>
          <w:rFonts w:ascii="Times New Roman" w:eastAsia="Times New Roman" w:hAnsi="Times New Roman" w:cs="Times New Roman"/>
          <w:kern w:val="0"/>
          <w:sz w:val="24"/>
          <w:szCs w:val="24"/>
        </w:rPr>
        <w:t>нията към водения от земеделския стопанин дневник в</w:t>
      </w:r>
      <w:r w:rsidRPr="00343AA9">
        <w:rPr>
          <w:rFonts w:ascii="Times New Roman" w:eastAsia="Times New Roman" w:hAnsi="Times New Roman" w:cs="Times New Roman"/>
          <w:kern w:val="0"/>
          <w:sz w:val="24"/>
          <w:szCs w:val="24"/>
          <w:lang w:val="en-GB"/>
        </w:rPr>
        <w:t xml:space="preserve"> случаите, когато животните се извеждат на открито в близост до животновъдния обект, в който нощуват</w:t>
      </w:r>
      <w:r w:rsidRPr="00343AA9">
        <w:rPr>
          <w:rFonts w:ascii="Times New Roman" w:eastAsia="Times New Roman" w:hAnsi="Times New Roman" w:cs="Times New Roman"/>
          <w:kern w:val="0"/>
          <w:sz w:val="24"/>
          <w:szCs w:val="24"/>
        </w:rPr>
        <w:t>. К</w:t>
      </w:r>
      <w:r w:rsidRPr="00343AA9">
        <w:rPr>
          <w:rFonts w:ascii="Times New Roman" w:eastAsia="Times New Roman" w:hAnsi="Times New Roman" w:cs="Times New Roman"/>
          <w:kern w:val="0"/>
          <w:sz w:val="24"/>
          <w:szCs w:val="24"/>
          <w:lang w:val="en-GB"/>
        </w:rPr>
        <w:t>андидатът представя дневник</w:t>
      </w:r>
      <w:r w:rsidRPr="00343AA9">
        <w:rPr>
          <w:rFonts w:ascii="Times New Roman" w:eastAsia="Times New Roman" w:hAnsi="Times New Roman" w:cs="Times New Roman"/>
          <w:kern w:val="0"/>
          <w:sz w:val="24"/>
          <w:szCs w:val="24"/>
        </w:rPr>
        <w:t xml:space="preserve"> в ДФЗ-РА</w:t>
      </w:r>
      <w:r w:rsidRPr="00343AA9">
        <w:rPr>
          <w:rFonts w:ascii="Times New Roman" w:eastAsia="Times New Roman" w:hAnsi="Times New Roman" w:cs="Times New Roman"/>
          <w:kern w:val="0"/>
          <w:sz w:val="24"/>
          <w:szCs w:val="24"/>
          <w:lang w:val="en-GB"/>
        </w:rPr>
        <w:t xml:space="preserve">, в който се </w:t>
      </w:r>
      <w:r w:rsidRPr="00343AA9">
        <w:rPr>
          <w:rFonts w:ascii="Times New Roman" w:eastAsia="Times New Roman" w:hAnsi="Times New Roman" w:cs="Times New Roman"/>
          <w:color w:val="000000"/>
          <w:kern w:val="0"/>
          <w:sz w:val="24"/>
          <w:szCs w:val="24"/>
          <w:lang w:val="en"/>
        </w:rPr>
        <w:t xml:space="preserve">вписват броят на животните по вид и категория с </w:t>
      </w:r>
      <w:r w:rsidRPr="00343AA9">
        <w:rPr>
          <w:rFonts w:ascii="Times New Roman" w:eastAsia="Times New Roman" w:hAnsi="Times New Roman" w:cs="Times New Roman"/>
          <w:color w:val="000000"/>
          <w:kern w:val="0"/>
          <w:sz w:val="24"/>
          <w:szCs w:val="24"/>
        </w:rPr>
        <w:t>д</w:t>
      </w:r>
      <w:r w:rsidRPr="00343AA9">
        <w:rPr>
          <w:rFonts w:ascii="Times New Roman" w:eastAsia="Times New Roman" w:hAnsi="Times New Roman" w:cs="Times New Roman"/>
          <w:color w:val="000000"/>
          <w:kern w:val="0"/>
          <w:sz w:val="24"/>
          <w:szCs w:val="24"/>
        </w:rPr>
        <w:t>а</w:t>
      </w:r>
      <w:r w:rsidRPr="00343AA9">
        <w:rPr>
          <w:rFonts w:ascii="Times New Roman" w:eastAsia="Times New Roman" w:hAnsi="Times New Roman" w:cs="Times New Roman"/>
          <w:color w:val="000000"/>
          <w:kern w:val="0"/>
          <w:sz w:val="24"/>
          <w:szCs w:val="24"/>
        </w:rPr>
        <w:t>тите</w:t>
      </w:r>
      <w:r w:rsidRPr="00343AA9">
        <w:rPr>
          <w:rFonts w:ascii="Times New Roman" w:eastAsia="Times New Roman" w:hAnsi="Times New Roman" w:cs="Times New Roman"/>
          <w:color w:val="000000"/>
          <w:kern w:val="0"/>
          <w:sz w:val="24"/>
          <w:szCs w:val="24"/>
          <w:lang w:val="en"/>
        </w:rPr>
        <w:t xml:space="preserve"> на извеждане.</w:t>
      </w:r>
      <w:r w:rsidRPr="00343AA9">
        <w:rPr>
          <w:rFonts w:ascii="Times New Roman" w:eastAsia="Times New Roman" w:hAnsi="Times New Roman" w:cs="Times New Roman"/>
          <w:color w:val="000000"/>
          <w:kern w:val="0"/>
          <w:sz w:val="24"/>
          <w:szCs w:val="24"/>
        </w:rPr>
        <w:t xml:space="preserve"> </w:t>
      </w:r>
      <w:r w:rsidRPr="00343AA9">
        <w:rPr>
          <w:rFonts w:ascii="Times New Roman" w:eastAsia="Times New Roman" w:hAnsi="Times New Roman" w:cs="Times New Roman"/>
          <w:color w:val="000000"/>
          <w:kern w:val="0"/>
          <w:sz w:val="24"/>
          <w:szCs w:val="24"/>
          <w:lang w:val="en"/>
        </w:rPr>
        <w:t>Дневникът се заверява от регистрирания ветеринарен лекар в началото и в края на периода на извеждане.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995"/>
      </w:tblGrid>
      <w:tr w:rsidR="00343AA9" w:rsidRPr="00343AA9" w:rsidTr="00A54518">
        <w:tc>
          <w:tcPr>
            <w:tcW w:w="5000" w:type="pct"/>
            <w:shd w:val="clear" w:color="auto" w:fill="auto"/>
            <w:tcMar>
              <w:top w:w="20" w:type="dxa"/>
              <w:bottom w:w="20" w:type="dxa"/>
            </w:tcMar>
            <w:vAlign w:val="center"/>
          </w:tcPr>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b/>
                <w:bCs/>
                <w:kern w:val="0"/>
                <w:sz w:val="24"/>
                <w:szCs w:val="24"/>
              </w:rPr>
              <w:t>Осигуряване на свободно отглеждане на открито</w:t>
            </w:r>
          </w:p>
          <w:p w:rsidR="00343AA9" w:rsidRPr="00343AA9" w:rsidRDefault="00343AA9" w:rsidP="00343AA9">
            <w:pPr>
              <w:widowControl/>
              <w:suppressAutoHyphens w:val="0"/>
              <w:autoSpaceDN/>
              <w:spacing w:before="240" w:after="240" w:line="240" w:lineRule="auto"/>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ДФ ”Земеделие” изисква от кандидата да представи документ, издаден от официалния ветер</w:t>
            </w:r>
            <w:r w:rsidRPr="00343AA9">
              <w:rPr>
                <w:rFonts w:ascii="Times New Roman" w:eastAsia="Times New Roman" w:hAnsi="Times New Roman" w:cs="Times New Roman"/>
                <w:kern w:val="0"/>
                <w:sz w:val="24"/>
                <w:szCs w:val="24"/>
              </w:rPr>
              <w:t>и</w:t>
            </w:r>
            <w:r w:rsidRPr="00343AA9">
              <w:rPr>
                <w:rFonts w:ascii="Times New Roman" w:eastAsia="Times New Roman" w:hAnsi="Times New Roman" w:cs="Times New Roman"/>
                <w:kern w:val="0"/>
                <w:sz w:val="24"/>
                <w:szCs w:val="24"/>
              </w:rPr>
              <w:t>нарен лекар на стопанството за придвижване или транспортиране на животните, в случаите когато животните са изкарани на свободно пашуване.</w:t>
            </w:r>
          </w:p>
          <w:p w:rsidR="00343AA9" w:rsidRPr="00343AA9" w:rsidRDefault="00343AA9" w:rsidP="00343AA9">
            <w:pPr>
              <w:widowControl/>
              <w:suppressAutoHyphens w:val="0"/>
              <w:autoSpaceDN/>
              <w:spacing w:before="120" w:after="0" w:line="240" w:lineRule="auto"/>
              <w:jc w:val="both"/>
              <w:textAlignment w:val="center"/>
              <w:rPr>
                <w:rFonts w:ascii="Times New Roman" w:eastAsia="Times New Roman" w:hAnsi="Times New Roman" w:cs="Times New Roman"/>
                <w:kern w:val="0"/>
                <w:sz w:val="24"/>
                <w:szCs w:val="20"/>
              </w:rPr>
            </w:pPr>
            <w:r w:rsidRPr="00343AA9">
              <w:rPr>
                <w:rFonts w:ascii="Times New Roman" w:eastAsia="Times New Roman" w:hAnsi="Times New Roman" w:cs="Times New Roman"/>
                <w:kern w:val="0"/>
                <w:sz w:val="24"/>
                <w:szCs w:val="24"/>
              </w:rPr>
              <w:t xml:space="preserve">В случаите, когато животните се извеждат на открито в близост до животновъдния обект, в който нощуват, кандидатът води  дневник, в който се </w:t>
            </w:r>
            <w:r w:rsidRPr="00343AA9">
              <w:rPr>
                <w:rFonts w:ascii="Times New Roman" w:eastAsia="Times New Roman" w:hAnsi="Times New Roman" w:cs="Times New Roman"/>
                <w:color w:val="000000"/>
                <w:kern w:val="0"/>
                <w:sz w:val="24"/>
                <w:szCs w:val="20"/>
              </w:rPr>
              <w:t xml:space="preserve">вписват </w:t>
            </w:r>
            <w:r w:rsidRPr="00343AA9">
              <w:rPr>
                <w:rFonts w:ascii="Times New Roman" w:eastAsia="Times New Roman" w:hAnsi="Times New Roman" w:cs="Times New Roman"/>
                <w:color w:val="000000"/>
                <w:kern w:val="0"/>
                <w:sz w:val="24"/>
                <w:szCs w:val="24"/>
              </w:rPr>
              <w:t>броят на животните по вид и к</w:t>
            </w:r>
            <w:r w:rsidRPr="00343AA9">
              <w:rPr>
                <w:rFonts w:ascii="Times New Roman" w:eastAsia="Times New Roman" w:hAnsi="Times New Roman" w:cs="Times New Roman"/>
                <w:color w:val="000000"/>
                <w:kern w:val="0"/>
                <w:sz w:val="24"/>
                <w:szCs w:val="24"/>
              </w:rPr>
              <w:t>а</w:t>
            </w:r>
            <w:r w:rsidRPr="00343AA9">
              <w:rPr>
                <w:rFonts w:ascii="Times New Roman" w:eastAsia="Times New Roman" w:hAnsi="Times New Roman" w:cs="Times New Roman"/>
                <w:color w:val="000000"/>
                <w:kern w:val="0"/>
                <w:sz w:val="24"/>
                <w:szCs w:val="24"/>
              </w:rPr>
              <w:t xml:space="preserve">тегория с </w:t>
            </w:r>
            <w:r w:rsidRPr="00343AA9">
              <w:rPr>
                <w:rFonts w:ascii="Times New Roman" w:eastAsia="Times New Roman" w:hAnsi="Times New Roman" w:cs="Times New Roman"/>
                <w:color w:val="000000"/>
                <w:kern w:val="0"/>
                <w:sz w:val="24"/>
                <w:szCs w:val="20"/>
              </w:rPr>
              <w:t>датите на извеждане</w:t>
            </w:r>
            <w:r w:rsidRPr="00343AA9">
              <w:rPr>
                <w:rFonts w:ascii="Times New Roman" w:eastAsia="Times New Roman" w:hAnsi="Times New Roman" w:cs="Times New Roman"/>
                <w:color w:val="000000"/>
                <w:kern w:val="0"/>
                <w:sz w:val="24"/>
                <w:szCs w:val="24"/>
              </w:rPr>
              <w:t>Дневникът се заверява от регистрирания ветеринарен лекар в началото и в края на периода на извеждане.</w:t>
            </w:r>
            <w:r w:rsidRPr="00343AA9">
              <w:rPr>
                <w:rFonts w:ascii="Times New Roman" w:eastAsia="Times New Roman" w:hAnsi="Times New Roman" w:cs="Times New Roman"/>
                <w:kern w:val="0"/>
                <w:sz w:val="24"/>
                <w:szCs w:val="24"/>
              </w:rPr>
              <w:t xml:space="preserve"> </w:t>
            </w:r>
          </w:p>
        </w:tc>
      </w:tr>
    </w:tbl>
    <w:p w:rsidR="00343AA9" w:rsidRPr="00343AA9" w:rsidRDefault="00343AA9" w:rsidP="00343AA9">
      <w:pPr>
        <w:widowControl/>
        <w:suppressAutoHyphens w:val="0"/>
        <w:autoSpaceDN/>
        <w:spacing w:before="120" w:after="120" w:line="360" w:lineRule="auto"/>
        <w:ind w:firstLine="567"/>
        <w:jc w:val="both"/>
        <w:textAlignment w:val="auto"/>
        <w:rPr>
          <w:rFonts w:ascii="Times New Roman" w:eastAsia="Times New Roman" w:hAnsi="Times New Roman" w:cs="Times New Roman"/>
          <w:kern w:val="0"/>
          <w:sz w:val="24"/>
          <w:szCs w:val="20"/>
          <w:lang w:val="en-GB"/>
        </w:rPr>
      </w:pPr>
    </w:p>
    <w:p w:rsidR="00343AA9" w:rsidRPr="00343AA9" w:rsidRDefault="00343AA9" w:rsidP="00343AA9">
      <w:pPr>
        <w:pStyle w:val="Standard"/>
        <w:ind w:left="426"/>
        <w:jc w:val="both"/>
      </w:pPr>
    </w:p>
    <w:p w:rsidR="004B42FF" w:rsidRDefault="004B42FF">
      <w:pPr>
        <w:pStyle w:val="Standard"/>
        <w:ind w:left="426"/>
        <w:jc w:val="right"/>
      </w:pPr>
    </w:p>
    <w:p w:rsidR="00BD3E0A" w:rsidRDefault="004B42FF" w:rsidP="004B42FF">
      <w:pPr>
        <w:pStyle w:val="Standard"/>
        <w:ind w:left="426"/>
        <w:jc w:val="right"/>
        <w:rPr>
          <w:b/>
          <w:i/>
        </w:rPr>
      </w:pPr>
      <w:r>
        <w:rPr>
          <w:b/>
          <w:i/>
        </w:rPr>
        <w:t>Приложение № 7</w:t>
      </w:r>
    </w:p>
    <w:p w:rsidR="00343AA9" w:rsidRDefault="00343AA9" w:rsidP="004B42FF">
      <w:pPr>
        <w:pStyle w:val="Standard"/>
        <w:ind w:left="426"/>
        <w:jc w:val="right"/>
        <w:rPr>
          <w:b/>
          <w:i/>
        </w:rPr>
      </w:pPr>
    </w:p>
    <w:p w:rsidR="00343AA9" w:rsidRPr="00343AA9" w:rsidRDefault="00343AA9" w:rsidP="00343AA9">
      <w:pPr>
        <w:widowControl/>
        <w:suppressAutoHyphens w:val="0"/>
        <w:autoSpaceDN/>
        <w:spacing w:before="240" w:after="240"/>
        <w:ind w:firstLine="567"/>
        <w:jc w:val="both"/>
        <w:textAlignment w:val="auto"/>
        <w:rPr>
          <w:rFonts w:ascii="Times New Roman" w:eastAsia="Times New Roman" w:hAnsi="Times New Roman" w:cs="Times New Roman"/>
          <w:b/>
          <w:kern w:val="0"/>
          <w:sz w:val="24"/>
          <w:szCs w:val="24"/>
        </w:rPr>
      </w:pPr>
      <w:r w:rsidRPr="00343AA9">
        <w:rPr>
          <w:rFonts w:ascii="Times New Roman" w:eastAsia="Times New Roman" w:hAnsi="Times New Roman" w:cs="Times New Roman"/>
          <w:b/>
          <w:kern w:val="0"/>
          <w:sz w:val="24"/>
          <w:szCs w:val="24"/>
        </w:rPr>
        <w:t>Т.3.8. Промени във финансовия план на Мярка 2 „Консултантски услуги, управл</w:t>
      </w:r>
      <w:r w:rsidRPr="00343AA9">
        <w:rPr>
          <w:rFonts w:ascii="Times New Roman" w:eastAsia="Times New Roman" w:hAnsi="Times New Roman" w:cs="Times New Roman"/>
          <w:b/>
          <w:kern w:val="0"/>
          <w:sz w:val="24"/>
          <w:szCs w:val="24"/>
        </w:rPr>
        <w:t>е</w:t>
      </w:r>
      <w:r w:rsidRPr="00343AA9">
        <w:rPr>
          <w:rFonts w:ascii="Times New Roman" w:eastAsia="Times New Roman" w:hAnsi="Times New Roman" w:cs="Times New Roman"/>
          <w:b/>
          <w:kern w:val="0"/>
          <w:sz w:val="24"/>
          <w:szCs w:val="24"/>
        </w:rPr>
        <w:t>ние на стопанството и услуги по заместване в стопанството“, Мярка 4 „Инвестиции във физически активи“, и Мярка 10 „Агроекология и климат“ с цел изравняване на извъ</w:t>
      </w:r>
      <w:r w:rsidRPr="00343AA9">
        <w:rPr>
          <w:rFonts w:ascii="Times New Roman" w:eastAsia="Times New Roman" w:hAnsi="Times New Roman" w:cs="Times New Roman"/>
          <w:b/>
          <w:kern w:val="0"/>
          <w:sz w:val="24"/>
          <w:szCs w:val="24"/>
        </w:rPr>
        <w:t>р</w:t>
      </w:r>
      <w:r w:rsidRPr="00343AA9">
        <w:rPr>
          <w:rFonts w:ascii="Times New Roman" w:eastAsia="Times New Roman" w:hAnsi="Times New Roman" w:cs="Times New Roman"/>
          <w:b/>
          <w:kern w:val="0"/>
          <w:sz w:val="24"/>
          <w:szCs w:val="24"/>
        </w:rPr>
        <w:t>шени разходи по фокус области.</w:t>
      </w:r>
    </w:p>
    <w:p w:rsidR="00343AA9" w:rsidRPr="00343AA9" w:rsidRDefault="00343AA9" w:rsidP="00343AA9">
      <w:pPr>
        <w:widowControl/>
        <w:suppressAutoHyphens w:val="0"/>
        <w:autoSpaceDN/>
        <w:spacing w:before="240" w:after="240"/>
        <w:ind w:firstLine="567"/>
        <w:jc w:val="both"/>
        <w:textAlignment w:val="auto"/>
        <w:rPr>
          <w:rFonts w:ascii="Times New Roman" w:eastAsia="Arial" w:hAnsi="Times New Roman" w:cs="Times New Roman"/>
          <w:color w:val="000000"/>
          <w:kern w:val="0"/>
          <w:sz w:val="24"/>
          <w:szCs w:val="24"/>
        </w:rPr>
      </w:pPr>
      <w:r w:rsidRPr="00343AA9">
        <w:rPr>
          <w:rFonts w:ascii="Times New Roman" w:eastAsia="Arial" w:hAnsi="Times New Roman" w:cs="Times New Roman"/>
          <w:color w:val="000000"/>
          <w:kern w:val="0"/>
          <w:sz w:val="24"/>
          <w:szCs w:val="24"/>
        </w:rPr>
        <w:t>През второ и трето тримесечие на 2018 г. са надплатени суми по вече поети задължения спрямо разпределенията по финансов план на фокус области:</w:t>
      </w:r>
    </w:p>
    <w:p w:rsidR="00343AA9" w:rsidRPr="00343AA9" w:rsidRDefault="00343AA9" w:rsidP="00343AA9">
      <w:pPr>
        <w:widowControl/>
        <w:suppressAutoHyphens w:val="0"/>
        <w:autoSpaceDN/>
        <w:spacing w:before="240" w:after="240"/>
        <w:ind w:firstLine="567"/>
        <w:jc w:val="both"/>
        <w:textAlignment w:val="auto"/>
        <w:rPr>
          <w:rFonts w:ascii="Times New Roman" w:eastAsia="Arial" w:hAnsi="Times New Roman" w:cs="Times New Roman"/>
          <w:color w:val="000000"/>
          <w:kern w:val="0"/>
          <w:sz w:val="24"/>
          <w:szCs w:val="24"/>
        </w:rPr>
      </w:pPr>
      <w:r w:rsidRPr="00343AA9">
        <w:rPr>
          <w:rFonts w:ascii="Times New Roman" w:eastAsia="Arial" w:hAnsi="Times New Roman" w:cs="Times New Roman"/>
          <w:color w:val="000000"/>
          <w:kern w:val="0"/>
          <w:sz w:val="24"/>
          <w:szCs w:val="24"/>
        </w:rPr>
        <w:lastRenderedPageBreak/>
        <w:t>- За Мярка 2 „Консултантски услуги,управление на стопанството и услуги по заместване в стопанството“:</w:t>
      </w:r>
    </w:p>
    <w:p w:rsidR="00343AA9" w:rsidRPr="00343AA9" w:rsidRDefault="00343AA9" w:rsidP="00386C69">
      <w:pPr>
        <w:widowControl/>
        <w:numPr>
          <w:ilvl w:val="0"/>
          <w:numId w:val="60"/>
        </w:numPr>
        <w:suppressAutoHyphens w:val="0"/>
        <w:autoSpaceDN/>
        <w:spacing w:before="240" w:after="240"/>
        <w:contextualSpacing/>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 xml:space="preserve">фокус област 5Б </w:t>
      </w:r>
      <w:r w:rsidRPr="00343AA9">
        <w:rPr>
          <w:rFonts w:ascii="Times New Roman" w:eastAsia="Times New Roman" w:hAnsi="Times New Roman" w:cs="Times New Roman"/>
          <w:kern w:val="0"/>
          <w:sz w:val="24"/>
          <w:szCs w:val="24"/>
          <w:lang w:val="en-US"/>
        </w:rPr>
        <w:t>(</w:t>
      </w:r>
      <w:r w:rsidRPr="00343AA9">
        <w:rPr>
          <w:rFonts w:ascii="Times New Roman" w:eastAsia="Times New Roman" w:hAnsi="Times New Roman" w:cs="Times New Roman"/>
          <w:kern w:val="0"/>
          <w:sz w:val="24"/>
          <w:szCs w:val="24"/>
        </w:rPr>
        <w:t xml:space="preserve"> </w:t>
      </w:r>
      <w:r w:rsidRPr="00343AA9">
        <w:rPr>
          <w:rFonts w:ascii="Times New Roman" w:eastAsia="Times New Roman" w:hAnsi="Times New Roman" w:cs="Times New Roman"/>
          <w:kern w:val="0"/>
          <w:sz w:val="24"/>
          <w:szCs w:val="20"/>
          <w:lang w:val="en-US"/>
        </w:rPr>
        <w:t>96 68</w:t>
      </w:r>
      <w:r w:rsidRPr="00343AA9">
        <w:rPr>
          <w:rFonts w:ascii="Times New Roman" w:eastAsia="Times New Roman" w:hAnsi="Times New Roman" w:cs="Times New Roman"/>
          <w:kern w:val="0"/>
          <w:sz w:val="24"/>
          <w:szCs w:val="20"/>
          <w:lang w:val="en-GB"/>
        </w:rPr>
        <w:t xml:space="preserve">6 </w:t>
      </w:r>
      <w:r w:rsidRPr="00343AA9">
        <w:rPr>
          <w:rFonts w:ascii="Times New Roman" w:eastAsia="Times New Roman" w:hAnsi="Times New Roman" w:cs="Times New Roman"/>
          <w:kern w:val="0"/>
          <w:sz w:val="24"/>
          <w:szCs w:val="20"/>
        </w:rPr>
        <w:t>евро от ЕЗФРСР)</w:t>
      </w:r>
      <w:r w:rsidRPr="00343AA9">
        <w:rPr>
          <w:rFonts w:ascii="Times New Roman" w:eastAsia="Times New Roman" w:hAnsi="Times New Roman" w:cs="Times New Roman"/>
          <w:kern w:val="0"/>
          <w:sz w:val="24"/>
          <w:szCs w:val="24"/>
        </w:rPr>
        <w:t xml:space="preserve">, </w:t>
      </w:r>
    </w:p>
    <w:p w:rsidR="00343AA9" w:rsidRPr="00343AA9" w:rsidRDefault="00343AA9" w:rsidP="00386C69">
      <w:pPr>
        <w:widowControl/>
        <w:numPr>
          <w:ilvl w:val="0"/>
          <w:numId w:val="60"/>
        </w:numPr>
        <w:suppressAutoHyphens w:val="0"/>
        <w:autoSpaceDN/>
        <w:spacing w:before="240" w:after="240"/>
        <w:contextualSpacing/>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 xml:space="preserve">фокус област 5В ( 96 393  евро от ЕЗФРСР),  </w:t>
      </w:r>
    </w:p>
    <w:p w:rsidR="00343AA9" w:rsidRPr="00343AA9" w:rsidRDefault="00343AA9" w:rsidP="00386C69">
      <w:pPr>
        <w:widowControl/>
        <w:numPr>
          <w:ilvl w:val="0"/>
          <w:numId w:val="60"/>
        </w:numPr>
        <w:suppressAutoHyphens w:val="0"/>
        <w:autoSpaceDN/>
        <w:spacing w:before="240" w:after="240"/>
        <w:contextualSpacing/>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 xml:space="preserve">фокус област 5Г( 103 533 евро от ЕЗФРСР),  </w:t>
      </w:r>
    </w:p>
    <w:p w:rsidR="00343AA9" w:rsidRPr="00343AA9" w:rsidRDefault="00343AA9" w:rsidP="00343AA9">
      <w:pPr>
        <w:widowControl/>
        <w:suppressAutoHyphens w:val="0"/>
        <w:autoSpaceDN/>
        <w:spacing w:before="240" w:after="240"/>
        <w:ind w:left="1287"/>
        <w:contextualSpacing/>
        <w:jc w:val="both"/>
        <w:textAlignment w:val="auto"/>
        <w:rPr>
          <w:rFonts w:ascii="Times New Roman" w:eastAsia="Times New Roman" w:hAnsi="Times New Roman" w:cs="Times New Roman"/>
          <w:kern w:val="0"/>
          <w:sz w:val="24"/>
          <w:szCs w:val="24"/>
        </w:rPr>
      </w:pPr>
    </w:p>
    <w:p w:rsidR="00343AA9" w:rsidRPr="00343AA9" w:rsidRDefault="00343AA9" w:rsidP="00343AA9">
      <w:pPr>
        <w:widowControl/>
        <w:suppressAutoHyphens w:val="0"/>
        <w:autoSpaceDN/>
        <w:spacing w:before="240" w:after="240"/>
        <w:contextualSpacing/>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ab/>
        <w:t xml:space="preserve"> - За Мярка 4 „Инвестиции във физически активи“</w:t>
      </w:r>
    </w:p>
    <w:p w:rsidR="00343AA9" w:rsidRPr="00343AA9" w:rsidRDefault="00343AA9" w:rsidP="00386C69">
      <w:pPr>
        <w:widowControl/>
        <w:numPr>
          <w:ilvl w:val="0"/>
          <w:numId w:val="61"/>
        </w:numPr>
        <w:suppressAutoHyphens w:val="0"/>
        <w:autoSpaceDN/>
        <w:spacing w:before="240" w:after="240"/>
        <w:contextualSpacing/>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 xml:space="preserve">фокус област 2Б (общо 8 211 259 евро от ЕЗФРСР), </w:t>
      </w:r>
    </w:p>
    <w:p w:rsidR="00343AA9" w:rsidRPr="00343AA9" w:rsidRDefault="00343AA9" w:rsidP="00343AA9">
      <w:pPr>
        <w:widowControl/>
        <w:suppressAutoHyphens w:val="0"/>
        <w:autoSpaceDN/>
        <w:spacing w:before="240" w:after="240"/>
        <w:ind w:left="1287"/>
        <w:contextualSpacing/>
        <w:jc w:val="both"/>
        <w:textAlignment w:val="auto"/>
        <w:rPr>
          <w:rFonts w:ascii="Times New Roman" w:eastAsia="Times New Roman" w:hAnsi="Times New Roman" w:cs="Times New Roman"/>
          <w:kern w:val="0"/>
          <w:sz w:val="24"/>
          <w:szCs w:val="24"/>
        </w:rPr>
      </w:pPr>
    </w:p>
    <w:p w:rsidR="00343AA9" w:rsidRPr="00343AA9" w:rsidRDefault="00343AA9" w:rsidP="00343AA9">
      <w:pPr>
        <w:widowControl/>
        <w:suppressAutoHyphens w:val="0"/>
        <w:autoSpaceDN/>
        <w:spacing w:before="240" w:after="240"/>
        <w:ind w:left="567"/>
        <w:contextualSpacing/>
        <w:jc w:val="both"/>
        <w:textAlignment w:val="auto"/>
        <w:rPr>
          <w:rFonts w:ascii="Times New Roman" w:eastAsia="Times New Roman" w:hAnsi="Times New Roman" w:cs="Times New Roman"/>
          <w:kern w:val="0"/>
          <w:sz w:val="24"/>
          <w:szCs w:val="24"/>
        </w:rPr>
      </w:pPr>
      <w:r w:rsidRPr="00343AA9">
        <w:rPr>
          <w:rFonts w:ascii="Times New Roman" w:eastAsia="Arial" w:hAnsi="Times New Roman" w:cs="Times New Roman"/>
          <w:color w:val="000000"/>
          <w:kern w:val="0"/>
          <w:sz w:val="24"/>
          <w:szCs w:val="24"/>
        </w:rPr>
        <w:t xml:space="preserve"> - За </w:t>
      </w:r>
      <w:r w:rsidRPr="00343AA9">
        <w:rPr>
          <w:rFonts w:ascii="Times New Roman" w:eastAsia="Times New Roman" w:hAnsi="Times New Roman" w:cs="Times New Roman"/>
          <w:kern w:val="0"/>
          <w:sz w:val="24"/>
          <w:szCs w:val="24"/>
        </w:rPr>
        <w:t>Мярка 10 „Агроекология и климат“ :</w:t>
      </w:r>
    </w:p>
    <w:p w:rsidR="00343AA9" w:rsidRPr="00343AA9" w:rsidRDefault="00343AA9" w:rsidP="00386C69">
      <w:pPr>
        <w:widowControl/>
        <w:numPr>
          <w:ilvl w:val="0"/>
          <w:numId w:val="61"/>
        </w:numPr>
        <w:suppressAutoHyphens w:val="0"/>
        <w:autoSpaceDN/>
        <w:spacing w:before="240" w:after="240"/>
        <w:contextualSpacing/>
        <w:jc w:val="both"/>
        <w:textAlignment w:val="auto"/>
        <w:rPr>
          <w:rFonts w:ascii="Times New Roman" w:eastAsia="Times New Roman" w:hAnsi="Times New Roman" w:cs="Times New Roman"/>
          <w:kern w:val="0"/>
          <w:sz w:val="24"/>
          <w:szCs w:val="24"/>
        </w:rPr>
      </w:pPr>
      <w:r w:rsidRPr="00343AA9">
        <w:rPr>
          <w:rFonts w:ascii="Times New Roman" w:eastAsia="Times New Roman" w:hAnsi="Times New Roman" w:cs="Times New Roman"/>
          <w:kern w:val="0"/>
          <w:sz w:val="24"/>
          <w:szCs w:val="24"/>
        </w:rPr>
        <w:t>.</w:t>
      </w:r>
      <w:r w:rsidRPr="00343AA9">
        <w:rPr>
          <w:rFonts w:ascii="Times New Roman" w:eastAsia="Arial" w:hAnsi="Times New Roman" w:cs="Times New Roman"/>
          <w:color w:val="000000"/>
          <w:kern w:val="0"/>
          <w:sz w:val="24"/>
          <w:szCs w:val="24"/>
        </w:rPr>
        <w:t xml:space="preserve">фокус област 5Г </w:t>
      </w:r>
      <w:r w:rsidRPr="00343AA9">
        <w:rPr>
          <w:rFonts w:ascii="Times New Roman" w:eastAsia="Times New Roman" w:hAnsi="Times New Roman" w:cs="Times New Roman"/>
          <w:kern w:val="0"/>
          <w:sz w:val="24"/>
          <w:szCs w:val="24"/>
        </w:rPr>
        <w:t>( общо 4 268 103 евро от ЕЗФРСР)</w:t>
      </w:r>
    </w:p>
    <w:p w:rsidR="00343AA9" w:rsidRPr="00343AA9" w:rsidRDefault="00343AA9" w:rsidP="00343AA9">
      <w:pPr>
        <w:widowControl/>
        <w:suppressAutoHyphens w:val="0"/>
        <w:autoSpaceDN/>
        <w:spacing w:before="240" w:after="240"/>
        <w:ind w:firstLine="567"/>
        <w:jc w:val="both"/>
        <w:textAlignment w:val="auto"/>
        <w:rPr>
          <w:rFonts w:ascii="Times New Roman" w:eastAsia="Arial" w:hAnsi="Times New Roman" w:cs="Times New Roman"/>
          <w:color w:val="000000"/>
          <w:kern w:val="0"/>
          <w:sz w:val="24"/>
          <w:szCs w:val="24"/>
        </w:rPr>
      </w:pPr>
      <w:r w:rsidRPr="00343AA9">
        <w:rPr>
          <w:rFonts w:ascii="Times New Roman" w:eastAsia="Times New Roman" w:hAnsi="Times New Roman" w:cs="Times New Roman"/>
          <w:kern w:val="0"/>
          <w:sz w:val="24"/>
          <w:szCs w:val="24"/>
        </w:rPr>
        <w:t>С</w:t>
      </w:r>
      <w:r w:rsidRPr="00343AA9">
        <w:rPr>
          <w:rFonts w:ascii="Times New Roman" w:eastAsia="Arial" w:hAnsi="Times New Roman" w:cs="Times New Roman"/>
          <w:color w:val="000000"/>
          <w:kern w:val="0"/>
          <w:sz w:val="24"/>
          <w:szCs w:val="24"/>
        </w:rPr>
        <w:t xml:space="preserve">лед </w:t>
      </w:r>
      <w:r w:rsidRPr="00343AA9">
        <w:rPr>
          <w:rFonts w:ascii="Times New Roman" w:eastAsia="Arial" w:hAnsi="Times New Roman" w:cs="Times New Roman"/>
          <w:color w:val="000000"/>
          <w:kern w:val="0"/>
          <w:sz w:val="24"/>
          <w:szCs w:val="24"/>
          <w:lang w:val="en-GB"/>
        </w:rPr>
        <w:t>препоръки, отправени от страна на службите на ЕК</w:t>
      </w:r>
      <w:r w:rsidRPr="00343AA9">
        <w:rPr>
          <w:rFonts w:ascii="Times New Roman" w:eastAsia="Arial" w:hAnsi="Times New Roman" w:cs="Times New Roman"/>
          <w:color w:val="000000"/>
          <w:kern w:val="0"/>
          <w:sz w:val="24"/>
          <w:szCs w:val="24"/>
        </w:rPr>
        <w:t xml:space="preserve">, се предвижда </w:t>
      </w:r>
      <w:r w:rsidRPr="00343AA9">
        <w:rPr>
          <w:rFonts w:ascii="Times New Roman" w:eastAsia="Arial" w:hAnsi="Times New Roman" w:cs="Times New Roman"/>
          <w:color w:val="000000"/>
          <w:kern w:val="0"/>
          <w:sz w:val="24"/>
          <w:szCs w:val="24"/>
          <w:lang w:val="en-GB"/>
        </w:rPr>
        <w:t xml:space="preserve">в </w:t>
      </w:r>
      <w:r w:rsidRPr="00343AA9">
        <w:rPr>
          <w:rFonts w:ascii="Times New Roman" w:eastAsia="Arial" w:hAnsi="Times New Roman" w:cs="Times New Roman"/>
          <w:color w:val="000000"/>
          <w:kern w:val="0"/>
          <w:sz w:val="24"/>
          <w:szCs w:val="24"/>
        </w:rPr>
        <w:t>рамките</w:t>
      </w:r>
      <w:r w:rsidRPr="00343AA9">
        <w:rPr>
          <w:rFonts w:ascii="Times New Roman" w:eastAsia="Arial" w:hAnsi="Times New Roman" w:cs="Times New Roman"/>
          <w:color w:val="000000"/>
          <w:kern w:val="0"/>
          <w:sz w:val="24"/>
          <w:szCs w:val="24"/>
          <w:lang w:val="en-GB"/>
        </w:rPr>
        <w:t xml:space="preserve"> на </w:t>
      </w:r>
      <w:r w:rsidRPr="00343AA9">
        <w:rPr>
          <w:rFonts w:ascii="Times New Roman" w:eastAsia="Arial" w:hAnsi="Times New Roman" w:cs="Times New Roman"/>
          <w:color w:val="000000"/>
          <w:kern w:val="0"/>
          <w:sz w:val="24"/>
          <w:szCs w:val="24"/>
        </w:rPr>
        <w:t>5</w:t>
      </w:r>
      <w:r w:rsidRPr="00343AA9">
        <w:rPr>
          <w:rFonts w:ascii="Times New Roman" w:eastAsia="Arial" w:hAnsi="Times New Roman" w:cs="Times New Roman"/>
          <w:color w:val="000000"/>
          <w:kern w:val="0"/>
          <w:sz w:val="24"/>
          <w:szCs w:val="24"/>
          <w:lang w:val="en-GB"/>
        </w:rPr>
        <w:t xml:space="preserve">то изменение на ПРСР, </w:t>
      </w:r>
      <w:r w:rsidRPr="00343AA9">
        <w:rPr>
          <w:rFonts w:ascii="Times New Roman" w:eastAsia="Arial" w:hAnsi="Times New Roman" w:cs="Times New Roman"/>
          <w:color w:val="000000"/>
          <w:kern w:val="0"/>
          <w:sz w:val="24"/>
          <w:szCs w:val="24"/>
        </w:rPr>
        <w:t>финансовият план на Програмата да бъде коригиран в съответствие с п</w:t>
      </w:r>
      <w:r w:rsidRPr="00343AA9">
        <w:rPr>
          <w:rFonts w:ascii="Times New Roman" w:eastAsia="Arial" w:hAnsi="Times New Roman" w:cs="Times New Roman"/>
          <w:color w:val="000000"/>
          <w:kern w:val="0"/>
          <w:sz w:val="24"/>
          <w:szCs w:val="24"/>
        </w:rPr>
        <w:t>о</w:t>
      </w:r>
      <w:r w:rsidRPr="00343AA9">
        <w:rPr>
          <w:rFonts w:ascii="Times New Roman" w:eastAsia="Arial" w:hAnsi="Times New Roman" w:cs="Times New Roman"/>
          <w:color w:val="000000"/>
          <w:kern w:val="0"/>
          <w:sz w:val="24"/>
          <w:szCs w:val="24"/>
        </w:rPr>
        <w:t xml:space="preserve">етите ангажименти и надплатените суми </w:t>
      </w:r>
      <w:r w:rsidRPr="00343AA9">
        <w:rPr>
          <w:rFonts w:ascii="Times New Roman" w:eastAsia="Arial" w:hAnsi="Times New Roman" w:cs="Times New Roman"/>
          <w:color w:val="000000"/>
          <w:kern w:val="0"/>
          <w:sz w:val="24"/>
          <w:szCs w:val="24"/>
          <w:lang w:val="en-GB"/>
        </w:rPr>
        <w:t>– с цел изравняване на извършените раз</w:t>
      </w:r>
      <w:r w:rsidRPr="00343AA9">
        <w:rPr>
          <w:rFonts w:ascii="Times New Roman" w:eastAsia="Arial" w:hAnsi="Times New Roman" w:cs="Times New Roman"/>
          <w:b/>
          <w:color w:val="000000"/>
          <w:kern w:val="0"/>
          <w:sz w:val="24"/>
          <w:szCs w:val="24"/>
          <w:lang w:val="en-GB"/>
        </w:rPr>
        <w:t>х</w:t>
      </w:r>
      <w:r w:rsidRPr="00343AA9">
        <w:rPr>
          <w:rFonts w:ascii="Times New Roman" w:eastAsia="Arial" w:hAnsi="Times New Roman" w:cs="Times New Roman"/>
          <w:color w:val="000000"/>
          <w:kern w:val="0"/>
          <w:sz w:val="24"/>
          <w:szCs w:val="24"/>
          <w:lang w:val="en-GB"/>
        </w:rPr>
        <w:t>оди по м</w:t>
      </w:r>
      <w:r w:rsidRPr="00343AA9">
        <w:rPr>
          <w:rFonts w:ascii="Times New Roman" w:eastAsia="Arial" w:hAnsi="Times New Roman" w:cs="Times New Roman"/>
          <w:color w:val="000000"/>
          <w:kern w:val="0"/>
          <w:sz w:val="24"/>
          <w:szCs w:val="24"/>
        </w:rPr>
        <w:t>е</w:t>
      </w:r>
      <w:r w:rsidRPr="00343AA9">
        <w:rPr>
          <w:rFonts w:ascii="Times New Roman" w:eastAsia="Arial" w:hAnsi="Times New Roman" w:cs="Times New Roman"/>
          <w:color w:val="000000"/>
          <w:kern w:val="0"/>
          <w:sz w:val="24"/>
          <w:szCs w:val="24"/>
          <w:lang w:val="en-GB"/>
        </w:rPr>
        <w:t>р</w:t>
      </w:r>
      <w:r w:rsidRPr="00343AA9">
        <w:rPr>
          <w:rFonts w:ascii="Times New Roman" w:eastAsia="Arial" w:hAnsi="Times New Roman" w:cs="Times New Roman"/>
          <w:color w:val="000000"/>
          <w:kern w:val="0"/>
          <w:sz w:val="24"/>
          <w:szCs w:val="24"/>
          <w:lang w:val="en-GB"/>
        </w:rPr>
        <w:t>к</w:t>
      </w:r>
      <w:r w:rsidRPr="00343AA9">
        <w:rPr>
          <w:rFonts w:ascii="Times New Roman" w:eastAsia="Arial" w:hAnsi="Times New Roman" w:cs="Times New Roman"/>
          <w:color w:val="000000"/>
          <w:kern w:val="0"/>
          <w:sz w:val="24"/>
          <w:szCs w:val="24"/>
        </w:rPr>
        <w:t>и</w:t>
      </w:r>
      <w:r w:rsidRPr="00343AA9">
        <w:rPr>
          <w:rFonts w:ascii="Times New Roman" w:eastAsia="Arial" w:hAnsi="Times New Roman" w:cs="Times New Roman"/>
          <w:color w:val="000000"/>
          <w:kern w:val="0"/>
          <w:sz w:val="24"/>
          <w:szCs w:val="24"/>
          <w:lang w:val="en-GB"/>
        </w:rPr>
        <w:t>т</w:t>
      </w:r>
      <w:r w:rsidRPr="00343AA9">
        <w:rPr>
          <w:rFonts w:ascii="Times New Roman" w:eastAsia="Arial" w:hAnsi="Times New Roman" w:cs="Times New Roman"/>
          <w:color w:val="000000"/>
          <w:kern w:val="0"/>
          <w:sz w:val="24"/>
          <w:szCs w:val="24"/>
        </w:rPr>
        <w:t>е</w:t>
      </w:r>
      <w:r w:rsidRPr="00343AA9">
        <w:rPr>
          <w:rFonts w:ascii="Times New Roman" w:eastAsia="Arial" w:hAnsi="Times New Roman" w:cs="Times New Roman"/>
          <w:color w:val="000000"/>
          <w:kern w:val="0"/>
          <w:sz w:val="24"/>
          <w:szCs w:val="24"/>
          <w:lang w:val="en-GB"/>
        </w:rPr>
        <w:t xml:space="preserve"> за </w:t>
      </w:r>
      <w:r w:rsidRPr="00343AA9">
        <w:rPr>
          <w:rFonts w:ascii="Times New Roman" w:eastAsia="Arial" w:hAnsi="Times New Roman" w:cs="Times New Roman"/>
          <w:color w:val="000000"/>
          <w:kern w:val="0"/>
          <w:sz w:val="24"/>
          <w:szCs w:val="24"/>
        </w:rPr>
        <w:t xml:space="preserve">гореизброените </w:t>
      </w:r>
      <w:r w:rsidRPr="00343AA9">
        <w:rPr>
          <w:rFonts w:ascii="Times New Roman" w:eastAsia="Arial" w:hAnsi="Times New Roman" w:cs="Times New Roman"/>
          <w:color w:val="000000"/>
          <w:kern w:val="0"/>
          <w:sz w:val="24"/>
          <w:szCs w:val="24"/>
          <w:lang w:val="en-GB"/>
        </w:rPr>
        <w:t>фокус област</w:t>
      </w:r>
      <w:r w:rsidRPr="00343AA9">
        <w:rPr>
          <w:rFonts w:ascii="Times New Roman" w:eastAsia="Arial" w:hAnsi="Times New Roman" w:cs="Times New Roman"/>
          <w:color w:val="000000"/>
          <w:kern w:val="0"/>
          <w:sz w:val="24"/>
          <w:szCs w:val="24"/>
        </w:rPr>
        <w:t>и</w:t>
      </w:r>
      <w:r w:rsidRPr="00343AA9">
        <w:rPr>
          <w:rFonts w:ascii="Times New Roman" w:eastAsia="Arial" w:hAnsi="Times New Roman" w:cs="Times New Roman"/>
          <w:color w:val="000000"/>
          <w:kern w:val="0"/>
          <w:sz w:val="24"/>
          <w:szCs w:val="24"/>
          <w:lang w:val="en-GB"/>
        </w:rPr>
        <w:t xml:space="preserve">. </w:t>
      </w:r>
    </w:p>
    <w:p w:rsidR="00343AA9" w:rsidRPr="00343AA9" w:rsidRDefault="00343AA9" w:rsidP="00343AA9">
      <w:pPr>
        <w:widowControl/>
        <w:suppressAutoHyphens w:val="0"/>
        <w:autoSpaceDN/>
        <w:spacing w:before="240" w:after="240"/>
        <w:ind w:firstLine="567"/>
        <w:jc w:val="both"/>
        <w:textAlignment w:val="auto"/>
        <w:rPr>
          <w:rFonts w:ascii="Times New Roman" w:eastAsia="Times New Roman" w:hAnsi="Times New Roman" w:cs="Times New Roman"/>
          <w:kern w:val="0"/>
          <w:sz w:val="24"/>
          <w:szCs w:val="24"/>
        </w:rPr>
      </w:pPr>
      <w:r w:rsidRPr="00343AA9">
        <w:rPr>
          <w:rFonts w:ascii="Times New Roman" w:eastAsia="Arial" w:hAnsi="Times New Roman" w:cs="Times New Roman"/>
          <w:color w:val="000000"/>
          <w:kern w:val="0"/>
          <w:sz w:val="24"/>
          <w:szCs w:val="24"/>
        </w:rPr>
        <w:t>Промените</w:t>
      </w:r>
      <w:r w:rsidRPr="00343AA9">
        <w:rPr>
          <w:rFonts w:ascii="Times New Roman" w:eastAsia="Arial" w:hAnsi="Times New Roman" w:cs="Times New Roman"/>
          <w:color w:val="000000"/>
          <w:kern w:val="0"/>
          <w:sz w:val="24"/>
          <w:szCs w:val="24"/>
          <w:lang w:val="en-GB"/>
        </w:rPr>
        <w:t xml:space="preserve"> </w:t>
      </w:r>
      <w:r w:rsidRPr="00343AA9">
        <w:rPr>
          <w:rFonts w:ascii="Times New Roman" w:eastAsia="Arial" w:hAnsi="Times New Roman" w:cs="Times New Roman"/>
          <w:color w:val="000000"/>
          <w:kern w:val="0"/>
          <w:sz w:val="24"/>
          <w:szCs w:val="24"/>
        </w:rPr>
        <w:t>се предвижда да бъдат</w:t>
      </w:r>
      <w:r w:rsidRPr="00343AA9">
        <w:rPr>
          <w:rFonts w:ascii="Times New Roman" w:eastAsia="Arial" w:hAnsi="Times New Roman" w:cs="Times New Roman"/>
          <w:color w:val="000000"/>
          <w:kern w:val="0"/>
          <w:sz w:val="24"/>
          <w:szCs w:val="24"/>
          <w:lang w:val="en-GB"/>
        </w:rPr>
        <w:t xml:space="preserve"> нанесени </w:t>
      </w:r>
      <w:r w:rsidRPr="00343AA9">
        <w:rPr>
          <w:rFonts w:ascii="Times New Roman" w:eastAsia="Arial" w:hAnsi="Times New Roman" w:cs="Times New Roman"/>
          <w:color w:val="000000"/>
          <w:kern w:val="0"/>
          <w:sz w:val="24"/>
          <w:szCs w:val="24"/>
        </w:rPr>
        <w:t xml:space="preserve">аналогично на тези от 4то изменение - </w:t>
      </w:r>
      <w:r w:rsidRPr="00343AA9">
        <w:rPr>
          <w:rFonts w:ascii="Times New Roman" w:eastAsia="Arial" w:hAnsi="Times New Roman" w:cs="Times New Roman"/>
          <w:color w:val="000000"/>
          <w:kern w:val="0"/>
          <w:sz w:val="24"/>
          <w:szCs w:val="24"/>
          <w:lang w:val="en-GB"/>
        </w:rPr>
        <w:t>в глава 10 „Финансов план“</w:t>
      </w:r>
      <w:r w:rsidRPr="00343AA9">
        <w:rPr>
          <w:rFonts w:ascii="Times New Roman" w:eastAsia="Arial" w:hAnsi="Times New Roman" w:cs="Times New Roman"/>
          <w:color w:val="000000"/>
          <w:kern w:val="0"/>
          <w:sz w:val="24"/>
          <w:szCs w:val="24"/>
        </w:rPr>
        <w:t xml:space="preserve"> на ПРСР,</w:t>
      </w:r>
      <w:r w:rsidRPr="00343AA9">
        <w:rPr>
          <w:rFonts w:ascii="Times New Roman" w:eastAsia="Arial" w:hAnsi="Times New Roman" w:cs="Times New Roman"/>
          <w:color w:val="000000"/>
          <w:kern w:val="0"/>
          <w:sz w:val="24"/>
          <w:szCs w:val="24"/>
          <w:lang w:val="en-GB"/>
        </w:rPr>
        <w:t xml:space="preserve"> </w:t>
      </w:r>
      <w:r w:rsidRPr="00343AA9">
        <w:rPr>
          <w:rFonts w:ascii="Times New Roman" w:eastAsia="Arial" w:hAnsi="Times New Roman" w:cs="Times New Roman"/>
          <w:color w:val="000000"/>
          <w:kern w:val="0"/>
          <w:sz w:val="24"/>
          <w:szCs w:val="24"/>
        </w:rPr>
        <w:t>като прехвърляните за тази цел средства ще бъдат само и единствено в рамките на съответните мерки.</w:t>
      </w:r>
    </w:p>
    <w:p w:rsidR="004B42FF" w:rsidRPr="00343AA9" w:rsidRDefault="004B42FF" w:rsidP="00343AA9">
      <w:pPr>
        <w:pStyle w:val="Standard"/>
        <w:ind w:left="426"/>
        <w:jc w:val="both"/>
      </w:pPr>
    </w:p>
    <w:p w:rsidR="004B42FF" w:rsidRDefault="004B42FF" w:rsidP="004B42FF">
      <w:pPr>
        <w:pStyle w:val="Standard"/>
        <w:ind w:left="426"/>
        <w:jc w:val="right"/>
        <w:rPr>
          <w:b/>
          <w:i/>
        </w:rPr>
      </w:pPr>
      <w:r>
        <w:rPr>
          <w:b/>
          <w:i/>
        </w:rPr>
        <w:t>Приложение № 8</w:t>
      </w:r>
    </w:p>
    <w:p w:rsidR="00343AA9" w:rsidRPr="00343AA9" w:rsidRDefault="00343AA9" w:rsidP="00343AA9">
      <w:pPr>
        <w:widowControl/>
        <w:suppressAutoHyphens w:val="0"/>
        <w:autoSpaceDN/>
        <w:spacing w:before="100" w:beforeAutospacing="1" w:after="100" w:afterAutospacing="1" w:line="240" w:lineRule="auto"/>
        <w:textAlignment w:val="auto"/>
        <w:outlineLvl w:val="3"/>
        <w:rPr>
          <w:rFonts w:ascii="Times New Roman" w:eastAsia="Calibri" w:hAnsi="Times New Roman" w:cs="Times New Roman"/>
          <w:b/>
          <w:bCs/>
          <w:kern w:val="0"/>
          <w:sz w:val="24"/>
          <w:szCs w:val="24"/>
        </w:rPr>
      </w:pPr>
      <w:r w:rsidRPr="00343AA9">
        <w:rPr>
          <w:rFonts w:ascii="Times New Roman" w:eastAsia="Calibri" w:hAnsi="Times New Roman" w:cs="Times New Roman"/>
          <w:b/>
          <w:bCs/>
          <w:kern w:val="0"/>
          <w:sz w:val="24"/>
          <w:szCs w:val="24"/>
        </w:rPr>
        <w:t>Т.3.9. Изменение в глава 11</w:t>
      </w:r>
      <w:bookmarkStart w:id="3" w:name="_Toc256000162"/>
      <w:r w:rsidRPr="00343AA9">
        <w:rPr>
          <w:rFonts w:ascii="Times New Roman" w:eastAsia="Calibri" w:hAnsi="Times New Roman" w:cs="Times New Roman"/>
          <w:b/>
          <w:bCs/>
          <w:kern w:val="0"/>
          <w:sz w:val="24"/>
          <w:szCs w:val="24"/>
        </w:rPr>
        <w:t xml:space="preserve"> </w:t>
      </w:r>
      <w:bookmarkEnd w:id="3"/>
      <w:r w:rsidRPr="00343AA9">
        <w:rPr>
          <w:rFonts w:ascii="Times New Roman" w:eastAsia="Calibri" w:hAnsi="Times New Roman" w:cs="Times New Roman"/>
          <w:b/>
          <w:bCs/>
          <w:kern w:val="0"/>
          <w:sz w:val="24"/>
          <w:szCs w:val="24"/>
        </w:rPr>
        <w:t>„План на показателите“ от ПРСР 2014-2020,  свързано с ф</w:t>
      </w:r>
      <w:r w:rsidRPr="00343AA9">
        <w:rPr>
          <w:rFonts w:ascii="Times New Roman" w:eastAsia="Calibri" w:hAnsi="Times New Roman" w:cs="Times New Roman"/>
          <w:b/>
          <w:bCs/>
          <w:kern w:val="0"/>
          <w:sz w:val="24"/>
          <w:szCs w:val="24"/>
        </w:rPr>
        <w:t>о</w:t>
      </w:r>
      <w:r w:rsidRPr="00343AA9">
        <w:rPr>
          <w:rFonts w:ascii="Times New Roman" w:eastAsia="Calibri" w:hAnsi="Times New Roman" w:cs="Times New Roman"/>
          <w:b/>
          <w:bCs/>
          <w:kern w:val="0"/>
          <w:sz w:val="24"/>
          <w:szCs w:val="24"/>
        </w:rPr>
        <w:t>кус област 6Б) „Стимулиране на местното развитие в селските райони“</w:t>
      </w: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lang w:val="ru-RU" w:eastAsia="bg-BG"/>
        </w:rPr>
      </w:pP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b/>
          <w:bCs/>
          <w:kern w:val="0"/>
          <w:sz w:val="24"/>
          <w:szCs w:val="24"/>
        </w:rPr>
      </w:pPr>
      <w:r w:rsidRPr="00343AA9">
        <w:rPr>
          <w:rFonts w:ascii="Times New Roman" w:eastAsia="Calibri" w:hAnsi="Times New Roman" w:cs="Times New Roman"/>
          <w:b/>
          <w:bCs/>
          <w:kern w:val="0"/>
          <w:sz w:val="24"/>
          <w:szCs w:val="24"/>
        </w:rPr>
        <w:t xml:space="preserve">Описание на предложените промени. </w:t>
      </w:r>
    </w:p>
    <w:p w:rsidR="00343AA9" w:rsidRPr="00343AA9" w:rsidRDefault="00343AA9" w:rsidP="00343AA9">
      <w:pPr>
        <w:tabs>
          <w:tab w:val="left" w:pos="567"/>
        </w:tabs>
        <w:suppressAutoHyphens w:val="0"/>
        <w:autoSpaceDE w:val="0"/>
        <w:adjustRightInd w:val="0"/>
        <w:spacing w:after="0" w:line="360" w:lineRule="auto"/>
        <w:jc w:val="both"/>
        <w:textAlignment w:val="auto"/>
        <w:rPr>
          <w:rFonts w:ascii="Times New Roman" w:eastAsia="Calibri" w:hAnsi="Times New Roman" w:cs="Times New Roman"/>
          <w:kern w:val="0"/>
          <w:sz w:val="24"/>
          <w:szCs w:val="24"/>
        </w:rPr>
      </w:pPr>
      <w:r w:rsidRPr="00343AA9">
        <w:rPr>
          <w:rFonts w:ascii="Times New Roman" w:eastAsia="Calibri" w:hAnsi="Times New Roman" w:cs="Times New Roman"/>
          <w:kern w:val="0"/>
          <w:sz w:val="24"/>
          <w:szCs w:val="24"/>
        </w:rPr>
        <w:t>Управляващият орган на ПРСР 2014 – 2020 г. предлага промяна в текста на точка 11.1.6.2. 6Б) „Стимулиране на местното развитие в селските райони“ на Програмата за развитие на селск</w:t>
      </w:r>
      <w:r w:rsidRPr="00343AA9">
        <w:rPr>
          <w:rFonts w:ascii="Times New Roman" w:eastAsia="Calibri" w:hAnsi="Times New Roman" w:cs="Times New Roman"/>
          <w:kern w:val="0"/>
          <w:sz w:val="24"/>
          <w:szCs w:val="24"/>
        </w:rPr>
        <w:t>и</w:t>
      </w:r>
      <w:r w:rsidRPr="00343AA9">
        <w:rPr>
          <w:rFonts w:ascii="Times New Roman" w:eastAsia="Calibri" w:hAnsi="Times New Roman" w:cs="Times New Roman"/>
          <w:kern w:val="0"/>
          <w:sz w:val="24"/>
          <w:szCs w:val="24"/>
        </w:rPr>
        <w:t>те райони 2014 – 2020 г., необходима поради промяна на планираното договаряне по подме</w:t>
      </w:r>
      <w:r w:rsidRPr="00343AA9">
        <w:rPr>
          <w:rFonts w:ascii="Times New Roman" w:eastAsia="Calibri" w:hAnsi="Times New Roman" w:cs="Times New Roman"/>
          <w:kern w:val="0"/>
          <w:sz w:val="24"/>
          <w:szCs w:val="24"/>
        </w:rPr>
        <w:t>р</w:t>
      </w:r>
      <w:r w:rsidRPr="00343AA9">
        <w:rPr>
          <w:rFonts w:ascii="Times New Roman" w:eastAsia="Calibri" w:hAnsi="Times New Roman" w:cs="Times New Roman"/>
          <w:kern w:val="0"/>
          <w:sz w:val="24"/>
          <w:szCs w:val="24"/>
        </w:rPr>
        <w:t>ките на мярка 19 Водено от общностите местно развитие. Промяната е наложена от факта, че от подмярка 19.1 „Помощ за подготвителни дейности” са използвани средства в размер на 2 000 000 евро за договаряне на една допълнителна стратегия по втория прием за стратегии (открит в периода 30.06 – 31.08.2017 г.) за ВОМР по подмярка 19.2 „Прилагане на операции в рамките на стратегии за водено от общностите местно развитие“ и подмярка 19.4 „Текущите разходи и популяризиране на стратегията за ВОМР”</w:t>
      </w:r>
      <w:r w:rsidRPr="00343AA9">
        <w:rPr>
          <w:rFonts w:ascii="Times New Roman" w:eastAsia="Calibri" w:hAnsi="Times New Roman" w:cs="Times New Roman"/>
          <w:kern w:val="0"/>
          <w:sz w:val="24"/>
          <w:szCs w:val="24"/>
          <w:lang w:eastAsia="bg-BG"/>
        </w:rPr>
        <w:t>.</w:t>
      </w: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lang w:eastAsia="bg-BG"/>
        </w:rPr>
      </w:pPr>
      <w:r w:rsidRPr="00343AA9">
        <w:rPr>
          <w:rFonts w:ascii="Times New Roman" w:eastAsia="Calibri" w:hAnsi="Times New Roman" w:cs="Times New Roman"/>
          <w:kern w:val="0"/>
          <w:sz w:val="24"/>
          <w:szCs w:val="24"/>
          <w:lang w:eastAsia="bg-BG"/>
        </w:rPr>
        <w:t xml:space="preserve">Предлаганата промяна се състои в корекция на стойностите на бюджетите на подмерки 19.1, 19.2 и 19.4 на мярка 19 в таблица „Планиран(и) показател(и) за изпълнението 2014—2020 г.“ от посочената по-горе част на ПРСР 2014 – 2020 г. </w:t>
      </w: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rPr>
      </w:pP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b/>
          <w:bCs/>
          <w:kern w:val="0"/>
          <w:sz w:val="24"/>
          <w:szCs w:val="24"/>
        </w:rPr>
      </w:pPr>
      <w:r w:rsidRPr="00343AA9">
        <w:rPr>
          <w:rFonts w:ascii="Times New Roman" w:eastAsia="Calibri" w:hAnsi="Times New Roman" w:cs="Times New Roman"/>
          <w:b/>
          <w:bCs/>
          <w:kern w:val="0"/>
          <w:sz w:val="24"/>
          <w:szCs w:val="24"/>
        </w:rPr>
        <w:t>Обяснение за предложените промени.</w:t>
      </w: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lang w:eastAsia="bg-BG"/>
        </w:rPr>
      </w:pPr>
      <w:r w:rsidRPr="00343AA9">
        <w:rPr>
          <w:rFonts w:ascii="Times New Roman" w:eastAsia="Calibri" w:hAnsi="Times New Roman" w:cs="Times New Roman"/>
          <w:kern w:val="0"/>
          <w:sz w:val="24"/>
          <w:szCs w:val="24"/>
          <w:lang w:eastAsia="bg-BG"/>
        </w:rPr>
        <w:lastRenderedPageBreak/>
        <w:t>В края на 2017 г. УО на ПРСР предприе действия предварително одобрения бюджет от ПРСР за подмерки 19.2 и 19.4 да бъде увеличен със средства от подмярка 19.1. Това е извършено със Заповед № РД 09-987/28.12.2017 г. на Ръководителя на Управляващия орган на ПРСР, като по този начин се осигурява възможност за финансирането на една допълнителна стратегия за ВОМР по втория прием по подмярка 19.2. Основанието за извършване на промяната е висок</w:t>
      </w:r>
      <w:r w:rsidRPr="00343AA9">
        <w:rPr>
          <w:rFonts w:ascii="Times New Roman" w:eastAsia="Calibri" w:hAnsi="Times New Roman" w:cs="Times New Roman"/>
          <w:kern w:val="0"/>
          <w:sz w:val="24"/>
          <w:szCs w:val="24"/>
          <w:lang w:eastAsia="bg-BG"/>
        </w:rPr>
        <w:t>и</w:t>
      </w:r>
      <w:r w:rsidRPr="00343AA9">
        <w:rPr>
          <w:rFonts w:ascii="Times New Roman" w:eastAsia="Calibri" w:hAnsi="Times New Roman" w:cs="Times New Roman"/>
          <w:kern w:val="0"/>
          <w:sz w:val="24"/>
          <w:szCs w:val="24"/>
          <w:lang w:eastAsia="bg-BG"/>
        </w:rPr>
        <w:t>ят обществен интерес от прилагането на подхода ВОМР и финансирането на по-голям брой висококачествени стратегии, в т. ч. и разширяване на територията на прилагане на подхода.</w:t>
      </w: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rPr>
      </w:pPr>
      <w:r w:rsidRPr="00343AA9">
        <w:rPr>
          <w:rFonts w:ascii="Times New Roman" w:eastAsia="Calibri" w:hAnsi="Times New Roman" w:cs="Times New Roman"/>
          <w:kern w:val="0"/>
          <w:sz w:val="24"/>
          <w:szCs w:val="24"/>
          <w:lang w:eastAsia="bg-BG"/>
        </w:rPr>
        <w:t>Бюджетът на подмярка 19.1 „Помощ за подготвителни дейности“ в ПРСР 2014 – 2020 г. е в размер на 4 766 442,20 евро или 9 322 207,65 лева. Съгласно информация от Държавен фонд „Земеделие“ по подмярката са изпълнени 100 проекта, като към 28.12.2017 г. на бенефицие</w:t>
      </w:r>
      <w:r w:rsidRPr="00343AA9">
        <w:rPr>
          <w:rFonts w:ascii="Times New Roman" w:eastAsia="Calibri" w:hAnsi="Times New Roman" w:cs="Times New Roman"/>
          <w:kern w:val="0"/>
          <w:sz w:val="24"/>
          <w:szCs w:val="24"/>
          <w:lang w:eastAsia="bg-BG"/>
        </w:rPr>
        <w:t>н</w:t>
      </w:r>
      <w:r w:rsidRPr="00343AA9">
        <w:rPr>
          <w:rFonts w:ascii="Times New Roman" w:eastAsia="Calibri" w:hAnsi="Times New Roman" w:cs="Times New Roman"/>
          <w:kern w:val="0"/>
          <w:sz w:val="24"/>
          <w:szCs w:val="24"/>
          <w:lang w:eastAsia="bg-BG"/>
        </w:rPr>
        <w:t>тите са изплатени 3 472 475,82 лв., като допълнително е предстояло да се изплатят 598 254,49 лв. Общата сума на средствата, които са необходими за възстановяване на извършените от б</w:t>
      </w:r>
      <w:r w:rsidRPr="00343AA9">
        <w:rPr>
          <w:rFonts w:ascii="Times New Roman" w:eastAsia="Calibri" w:hAnsi="Times New Roman" w:cs="Times New Roman"/>
          <w:kern w:val="0"/>
          <w:sz w:val="24"/>
          <w:szCs w:val="24"/>
          <w:lang w:eastAsia="bg-BG"/>
        </w:rPr>
        <w:t>е</w:t>
      </w:r>
      <w:r w:rsidRPr="00343AA9">
        <w:rPr>
          <w:rFonts w:ascii="Times New Roman" w:eastAsia="Calibri" w:hAnsi="Times New Roman" w:cs="Times New Roman"/>
          <w:kern w:val="0"/>
          <w:sz w:val="24"/>
          <w:szCs w:val="24"/>
          <w:lang w:eastAsia="bg-BG"/>
        </w:rPr>
        <w:t>нефициентите разходи по подмярката са в размер на 4 070 730,31 лева. Предвид разполагаем</w:t>
      </w:r>
      <w:r w:rsidRPr="00343AA9">
        <w:rPr>
          <w:rFonts w:ascii="Times New Roman" w:eastAsia="Calibri" w:hAnsi="Times New Roman" w:cs="Times New Roman"/>
          <w:kern w:val="0"/>
          <w:sz w:val="24"/>
          <w:szCs w:val="24"/>
          <w:lang w:eastAsia="bg-BG"/>
        </w:rPr>
        <w:t>и</w:t>
      </w:r>
      <w:r w:rsidRPr="00343AA9">
        <w:rPr>
          <w:rFonts w:ascii="Times New Roman" w:eastAsia="Calibri" w:hAnsi="Times New Roman" w:cs="Times New Roman"/>
          <w:kern w:val="0"/>
          <w:sz w:val="24"/>
          <w:szCs w:val="24"/>
          <w:lang w:eastAsia="bg-BG"/>
        </w:rPr>
        <w:t>ят бюджет съгласно ПРСР 2014 – 2020 г. по подмярката към 28.12.2017 г. остават средства в размер на 5 251 477,34 лева. Тъй като основните дейности по подмярката – подготовка и и</w:t>
      </w:r>
      <w:r w:rsidRPr="00343AA9">
        <w:rPr>
          <w:rFonts w:ascii="Times New Roman" w:eastAsia="Calibri" w:hAnsi="Times New Roman" w:cs="Times New Roman"/>
          <w:kern w:val="0"/>
          <w:sz w:val="24"/>
          <w:szCs w:val="24"/>
          <w:lang w:eastAsia="bg-BG"/>
        </w:rPr>
        <w:t>з</w:t>
      </w:r>
      <w:r w:rsidRPr="00343AA9">
        <w:rPr>
          <w:rFonts w:ascii="Times New Roman" w:eastAsia="Calibri" w:hAnsi="Times New Roman" w:cs="Times New Roman"/>
          <w:kern w:val="0"/>
          <w:sz w:val="24"/>
          <w:szCs w:val="24"/>
          <w:lang w:eastAsia="bg-BG"/>
        </w:rPr>
        <w:t>готвяне на стратегии за ВОМР вече са изпълнени, е обосновано прехвърлянето на средства в размер на 2 933 700 лева, достатъчни за осигуряване на финансиране по ПРСР на една страт</w:t>
      </w:r>
      <w:r w:rsidRPr="00343AA9">
        <w:rPr>
          <w:rFonts w:ascii="Times New Roman" w:eastAsia="Calibri" w:hAnsi="Times New Roman" w:cs="Times New Roman"/>
          <w:kern w:val="0"/>
          <w:sz w:val="24"/>
          <w:szCs w:val="24"/>
          <w:lang w:eastAsia="bg-BG"/>
        </w:rPr>
        <w:t>е</w:t>
      </w:r>
      <w:r w:rsidRPr="00343AA9">
        <w:rPr>
          <w:rFonts w:ascii="Times New Roman" w:eastAsia="Calibri" w:hAnsi="Times New Roman" w:cs="Times New Roman"/>
          <w:kern w:val="0"/>
          <w:sz w:val="24"/>
          <w:szCs w:val="24"/>
          <w:lang w:eastAsia="bg-BG"/>
        </w:rPr>
        <w:t>гия по ВОМР по подмярка 19.2 и средства в размер на 977 900 лева, достатъчни за осигуряв</w:t>
      </w:r>
      <w:r w:rsidRPr="00343AA9">
        <w:rPr>
          <w:rFonts w:ascii="Times New Roman" w:eastAsia="Calibri" w:hAnsi="Times New Roman" w:cs="Times New Roman"/>
          <w:kern w:val="0"/>
          <w:sz w:val="24"/>
          <w:szCs w:val="24"/>
          <w:lang w:eastAsia="bg-BG"/>
        </w:rPr>
        <w:t>а</w:t>
      </w:r>
      <w:r w:rsidRPr="00343AA9">
        <w:rPr>
          <w:rFonts w:ascii="Times New Roman" w:eastAsia="Calibri" w:hAnsi="Times New Roman" w:cs="Times New Roman"/>
          <w:kern w:val="0"/>
          <w:sz w:val="24"/>
          <w:szCs w:val="24"/>
          <w:lang w:eastAsia="bg-BG"/>
        </w:rPr>
        <w:t>не на финансиране по ПРСР на една стратегия по ВОМР по подмярка 19.4 на ПРСР 2014 – 2020 г. След прехвърлянето на средства в общ размер на 3 911 600 лева (2 000 000 евро) от подмярка 19.1 в подмярка 19.2 и подмярка 19.4 за изпълнение на пилотни проекти по подмя</w:t>
      </w:r>
      <w:r w:rsidRPr="00343AA9">
        <w:rPr>
          <w:rFonts w:ascii="Times New Roman" w:eastAsia="Calibri" w:hAnsi="Times New Roman" w:cs="Times New Roman"/>
          <w:kern w:val="0"/>
          <w:sz w:val="24"/>
          <w:szCs w:val="24"/>
          <w:lang w:eastAsia="bg-BG"/>
        </w:rPr>
        <w:t>р</w:t>
      </w:r>
      <w:r w:rsidRPr="00343AA9">
        <w:rPr>
          <w:rFonts w:ascii="Times New Roman" w:eastAsia="Calibri" w:hAnsi="Times New Roman" w:cs="Times New Roman"/>
          <w:kern w:val="0"/>
          <w:sz w:val="24"/>
          <w:szCs w:val="24"/>
          <w:lang w:eastAsia="bg-BG"/>
        </w:rPr>
        <w:t>ка 19.1 ще има наличен финансов ресурс в размер на 1 293 071,59 лева, което би било дост</w:t>
      </w:r>
      <w:r w:rsidRPr="00343AA9">
        <w:rPr>
          <w:rFonts w:ascii="Times New Roman" w:eastAsia="Calibri" w:hAnsi="Times New Roman" w:cs="Times New Roman"/>
          <w:kern w:val="0"/>
          <w:sz w:val="24"/>
          <w:szCs w:val="24"/>
          <w:lang w:eastAsia="bg-BG"/>
        </w:rPr>
        <w:t>а</w:t>
      </w:r>
      <w:r w:rsidRPr="00343AA9">
        <w:rPr>
          <w:rFonts w:ascii="Times New Roman" w:eastAsia="Calibri" w:hAnsi="Times New Roman" w:cs="Times New Roman"/>
          <w:kern w:val="0"/>
          <w:sz w:val="24"/>
          <w:szCs w:val="24"/>
          <w:lang w:eastAsia="bg-BG"/>
        </w:rPr>
        <w:t>тъчно за одобрението на най-малко 44 проекта (имайки предвид, че максималният размер на финансирането на един проект е до левовата равностойност на 15 000 евро).</w:t>
      </w: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rPr>
      </w:pP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b/>
          <w:kern w:val="0"/>
          <w:sz w:val="24"/>
          <w:szCs w:val="24"/>
          <w:u w:val="single"/>
        </w:rPr>
      </w:pPr>
      <w:r w:rsidRPr="00343AA9">
        <w:rPr>
          <w:rFonts w:ascii="Times New Roman" w:eastAsia="Calibri" w:hAnsi="Times New Roman" w:cs="Times New Roman"/>
          <w:b/>
          <w:kern w:val="0"/>
          <w:sz w:val="24"/>
          <w:szCs w:val="24"/>
          <w:u w:val="single"/>
        </w:rPr>
        <w:t>ПРЕДЛОЖЕНИЕ:</w:t>
      </w: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rPr>
      </w:pPr>
      <w:r w:rsidRPr="00343AA9">
        <w:rPr>
          <w:rFonts w:ascii="Times New Roman" w:eastAsia="Calibri" w:hAnsi="Times New Roman" w:cs="Times New Roman"/>
          <w:kern w:val="0"/>
          <w:sz w:val="24"/>
          <w:szCs w:val="24"/>
        </w:rPr>
        <w:t>Промяна в текста на мярка 19 ВОМР на ПРСР 2014 – 2020 г. както следва:</w:t>
      </w: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rPr>
      </w:pPr>
      <w:r w:rsidRPr="00343AA9">
        <w:rPr>
          <w:rFonts w:ascii="Times New Roman" w:eastAsia="Calibri" w:hAnsi="Times New Roman" w:cs="Times New Roman"/>
          <w:kern w:val="0"/>
          <w:sz w:val="24"/>
          <w:szCs w:val="24"/>
        </w:rPr>
        <w:t xml:space="preserve">1. В таблица </w:t>
      </w:r>
      <w:r w:rsidRPr="00343AA9">
        <w:rPr>
          <w:rFonts w:ascii="Times New Roman" w:eastAsia="Calibri" w:hAnsi="Times New Roman" w:cs="Times New Roman"/>
          <w:kern w:val="0"/>
          <w:sz w:val="24"/>
          <w:szCs w:val="24"/>
          <w:lang w:eastAsia="bg-BG"/>
        </w:rPr>
        <w:t xml:space="preserve">„Планиран(и) показател(и) за изпълнението 2014—2020 г.“ на </w:t>
      </w:r>
      <w:r w:rsidRPr="00343AA9">
        <w:rPr>
          <w:rFonts w:ascii="Times New Roman" w:eastAsia="Calibri" w:hAnsi="Times New Roman" w:cs="Times New Roman"/>
          <w:kern w:val="0"/>
          <w:sz w:val="24"/>
          <w:szCs w:val="24"/>
        </w:rPr>
        <w:t>точка 11.1.6.2. 6Б) „Стимулиране на местното развитие в селските райони“ на Програмата за развитие на селск</w:t>
      </w:r>
      <w:r w:rsidRPr="00343AA9">
        <w:rPr>
          <w:rFonts w:ascii="Times New Roman" w:eastAsia="Calibri" w:hAnsi="Times New Roman" w:cs="Times New Roman"/>
          <w:kern w:val="0"/>
          <w:sz w:val="24"/>
          <w:szCs w:val="24"/>
        </w:rPr>
        <w:t>и</w:t>
      </w:r>
      <w:r w:rsidRPr="00343AA9">
        <w:rPr>
          <w:rFonts w:ascii="Times New Roman" w:eastAsia="Calibri" w:hAnsi="Times New Roman" w:cs="Times New Roman"/>
          <w:kern w:val="0"/>
          <w:sz w:val="24"/>
          <w:szCs w:val="24"/>
        </w:rPr>
        <w:t>те райони 2014 – 2020 г. редовете: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3998"/>
        <w:gridCol w:w="1999"/>
      </w:tblGrid>
      <w:tr w:rsidR="00343AA9" w:rsidRPr="00343AA9" w:rsidTr="00A54518">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b/>
                <w:kern w:val="0"/>
                <w:sz w:val="16"/>
              </w:rPr>
            </w:pPr>
            <w:r w:rsidRPr="00343AA9">
              <w:rPr>
                <w:rFonts w:ascii="Times New Roman" w:eastAsia="Calibri" w:hAnsi="Times New Roman" w:cs="Times New Roman"/>
                <w:b/>
                <w:kern w:val="0"/>
                <w:sz w:val="16"/>
              </w:rPr>
              <w:t>M19 — Подкрепа за местно развитие по LEADER (ВОМР — водено от общностите местно развитие) (член 35 от Регламент (ЕС) № 1303/2013)</w:t>
            </w:r>
          </w:p>
        </w:tc>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Общи публични разходи (в евро) — подготвителна помощ (19.1)</w:t>
            </w:r>
          </w:p>
        </w:tc>
        <w:tc>
          <w:tcPr>
            <w:tcW w:w="1000" w:type="pct"/>
            <w:shd w:val="clear" w:color="auto" w:fill="FFFFFF"/>
            <w:tcMar>
              <w:top w:w="60" w:type="dxa"/>
            </w:tcMar>
            <w:vAlign w:val="center"/>
          </w:tcPr>
          <w:p w:rsidR="00343AA9" w:rsidRPr="00343AA9" w:rsidRDefault="00343AA9" w:rsidP="00343AA9">
            <w:pPr>
              <w:widowControl/>
              <w:suppressAutoHyphens w:val="0"/>
              <w:autoSpaceDN/>
              <w:spacing w:before="20" w:after="20"/>
              <w:jc w:val="right"/>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4 766 442,20</w:t>
            </w:r>
          </w:p>
        </w:tc>
      </w:tr>
      <w:tr w:rsidR="00343AA9" w:rsidRPr="00343AA9" w:rsidTr="00A54518">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b/>
                <w:kern w:val="0"/>
                <w:sz w:val="16"/>
              </w:rPr>
            </w:pPr>
            <w:r w:rsidRPr="00343AA9">
              <w:rPr>
                <w:rFonts w:ascii="Times New Roman" w:eastAsia="Calibri" w:hAnsi="Times New Roman" w:cs="Times New Roman"/>
                <w:b/>
                <w:kern w:val="0"/>
                <w:sz w:val="16"/>
              </w:rPr>
              <w:t>M19 — Подкрепа за местно развитие по LEADER (ВОМР — водено от общностите местно развитие) (член 35 от Регламент (ЕС) № 1303/2013)</w:t>
            </w:r>
          </w:p>
        </w:tc>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Общи публични разходи (в евро) — подкрепа за и</w:t>
            </w:r>
            <w:r w:rsidRPr="00343AA9">
              <w:rPr>
                <w:rFonts w:ascii="Times New Roman" w:eastAsia="Calibri" w:hAnsi="Times New Roman" w:cs="Times New Roman"/>
                <w:kern w:val="0"/>
                <w:sz w:val="16"/>
              </w:rPr>
              <w:t>з</w:t>
            </w:r>
            <w:r w:rsidRPr="00343AA9">
              <w:rPr>
                <w:rFonts w:ascii="Times New Roman" w:eastAsia="Calibri" w:hAnsi="Times New Roman" w:cs="Times New Roman"/>
                <w:kern w:val="0"/>
                <w:sz w:val="16"/>
              </w:rPr>
              <w:t>пълнение на операциите по водена от общностите стратегия за местно развитие (19.2)</w:t>
            </w:r>
          </w:p>
        </w:tc>
        <w:tc>
          <w:tcPr>
            <w:tcW w:w="1000" w:type="pct"/>
            <w:shd w:val="clear" w:color="auto" w:fill="FFFFFF"/>
            <w:tcMar>
              <w:top w:w="60" w:type="dxa"/>
            </w:tcMar>
            <w:vAlign w:val="center"/>
          </w:tcPr>
          <w:p w:rsidR="00343AA9" w:rsidRPr="00343AA9" w:rsidRDefault="00343AA9" w:rsidP="00343AA9">
            <w:pPr>
              <w:widowControl/>
              <w:suppressAutoHyphens w:val="0"/>
              <w:autoSpaceDN/>
              <w:spacing w:before="20" w:after="20"/>
              <w:jc w:val="right"/>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90 163 875,60</w:t>
            </w:r>
          </w:p>
        </w:tc>
      </w:tr>
      <w:tr w:rsidR="00343AA9" w:rsidRPr="00343AA9" w:rsidTr="00A54518">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b/>
                <w:kern w:val="0"/>
                <w:sz w:val="16"/>
              </w:rPr>
            </w:pPr>
            <w:r w:rsidRPr="00343AA9">
              <w:rPr>
                <w:rFonts w:ascii="Times New Roman" w:eastAsia="Calibri" w:hAnsi="Times New Roman" w:cs="Times New Roman"/>
                <w:b/>
                <w:kern w:val="0"/>
                <w:sz w:val="16"/>
              </w:rPr>
              <w:t>M19 — Подкрепа за местно развитие по LEADER (ВОМР — водено от общностите местно развитие) (член 35 от Регламент (ЕС) № 1303/2013)</w:t>
            </w:r>
          </w:p>
        </w:tc>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Общи публични разходи (в евро) — подготовка и изпълнение на дейности за сътрудничество на местн</w:t>
            </w:r>
            <w:r w:rsidRPr="00343AA9">
              <w:rPr>
                <w:rFonts w:ascii="Times New Roman" w:eastAsia="Calibri" w:hAnsi="Times New Roman" w:cs="Times New Roman"/>
                <w:kern w:val="0"/>
                <w:sz w:val="16"/>
              </w:rPr>
              <w:t>а</w:t>
            </w:r>
            <w:r w:rsidRPr="00343AA9">
              <w:rPr>
                <w:rFonts w:ascii="Times New Roman" w:eastAsia="Calibri" w:hAnsi="Times New Roman" w:cs="Times New Roman"/>
                <w:kern w:val="0"/>
                <w:sz w:val="16"/>
              </w:rPr>
              <w:t>та група за действие (19.3)</w:t>
            </w:r>
          </w:p>
        </w:tc>
        <w:tc>
          <w:tcPr>
            <w:tcW w:w="1000" w:type="pct"/>
            <w:shd w:val="clear" w:color="auto" w:fill="FFFFFF"/>
            <w:tcMar>
              <w:top w:w="60" w:type="dxa"/>
            </w:tcMar>
            <w:vAlign w:val="center"/>
          </w:tcPr>
          <w:p w:rsidR="00343AA9" w:rsidRPr="00343AA9" w:rsidRDefault="00343AA9" w:rsidP="00343AA9">
            <w:pPr>
              <w:widowControl/>
              <w:suppressAutoHyphens w:val="0"/>
              <w:autoSpaceDN/>
              <w:spacing w:before="20" w:after="20"/>
              <w:jc w:val="right"/>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6 500 000,00</w:t>
            </w:r>
          </w:p>
        </w:tc>
      </w:tr>
      <w:tr w:rsidR="00343AA9" w:rsidRPr="00343AA9" w:rsidTr="00A54518">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b/>
                <w:kern w:val="0"/>
                <w:sz w:val="16"/>
              </w:rPr>
            </w:pPr>
            <w:r w:rsidRPr="00343AA9">
              <w:rPr>
                <w:rFonts w:ascii="Times New Roman" w:eastAsia="Calibri" w:hAnsi="Times New Roman" w:cs="Times New Roman"/>
                <w:b/>
                <w:kern w:val="0"/>
                <w:sz w:val="16"/>
              </w:rPr>
              <w:t xml:space="preserve">M19 — Подкрепа за местно развитие по LEADER (ВОМР — водено от общностите местно развитие) </w:t>
            </w:r>
            <w:r w:rsidRPr="00343AA9">
              <w:rPr>
                <w:rFonts w:ascii="Times New Roman" w:eastAsia="Calibri" w:hAnsi="Times New Roman" w:cs="Times New Roman"/>
                <w:b/>
                <w:kern w:val="0"/>
                <w:sz w:val="16"/>
              </w:rPr>
              <w:lastRenderedPageBreak/>
              <w:t>(член 35 от Регламент (ЕС) № 1303/2013)</w:t>
            </w:r>
          </w:p>
        </w:tc>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lastRenderedPageBreak/>
              <w:t>Общи публични разходи (в евро) — подкрепа за тек</w:t>
            </w:r>
            <w:r w:rsidRPr="00343AA9">
              <w:rPr>
                <w:rFonts w:ascii="Times New Roman" w:eastAsia="Calibri" w:hAnsi="Times New Roman" w:cs="Times New Roman"/>
                <w:kern w:val="0"/>
                <w:sz w:val="16"/>
              </w:rPr>
              <w:t>у</w:t>
            </w:r>
            <w:r w:rsidRPr="00343AA9">
              <w:rPr>
                <w:rFonts w:ascii="Times New Roman" w:eastAsia="Calibri" w:hAnsi="Times New Roman" w:cs="Times New Roman"/>
                <w:kern w:val="0"/>
                <w:sz w:val="16"/>
              </w:rPr>
              <w:t xml:space="preserve">щи разходи и разходи за стимулиране на интерес </w:t>
            </w:r>
            <w:r w:rsidRPr="00343AA9">
              <w:rPr>
                <w:rFonts w:ascii="Times New Roman" w:eastAsia="Calibri" w:hAnsi="Times New Roman" w:cs="Times New Roman"/>
                <w:kern w:val="0"/>
                <w:sz w:val="16"/>
              </w:rPr>
              <w:lastRenderedPageBreak/>
              <w:t>(19.4)</w:t>
            </w:r>
          </w:p>
        </w:tc>
        <w:tc>
          <w:tcPr>
            <w:tcW w:w="1000" w:type="pct"/>
            <w:shd w:val="clear" w:color="auto" w:fill="FFFFFF"/>
            <w:tcMar>
              <w:top w:w="60" w:type="dxa"/>
            </w:tcMar>
            <w:vAlign w:val="center"/>
          </w:tcPr>
          <w:p w:rsidR="00343AA9" w:rsidRPr="00343AA9" w:rsidRDefault="00343AA9" w:rsidP="00343AA9">
            <w:pPr>
              <w:widowControl/>
              <w:suppressAutoHyphens w:val="0"/>
              <w:autoSpaceDN/>
              <w:spacing w:before="20" w:after="20"/>
              <w:jc w:val="right"/>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lastRenderedPageBreak/>
              <w:t>30 053 958,90</w:t>
            </w:r>
          </w:p>
        </w:tc>
      </w:tr>
    </w:tbl>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rPr>
      </w:pPr>
      <w:r w:rsidRPr="00343AA9">
        <w:rPr>
          <w:rFonts w:ascii="Times New Roman" w:eastAsia="Calibri" w:hAnsi="Times New Roman" w:cs="Times New Roman"/>
          <w:kern w:val="0"/>
          <w:sz w:val="24"/>
          <w:szCs w:val="24"/>
        </w:rPr>
        <w:lastRenderedPageBreak/>
        <w:t xml:space="preserve"> </w:t>
      </w:r>
    </w:p>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rPr>
      </w:pPr>
      <w:r w:rsidRPr="00343AA9">
        <w:rPr>
          <w:rFonts w:ascii="Times New Roman" w:eastAsia="Calibri" w:hAnsi="Times New Roman" w:cs="Times New Roman"/>
          <w:kern w:val="0"/>
          <w:sz w:val="24"/>
          <w:szCs w:val="24"/>
        </w:rPr>
        <w:t>се заменят със следните редове: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3998"/>
        <w:gridCol w:w="1999"/>
      </w:tblGrid>
      <w:tr w:rsidR="00343AA9" w:rsidRPr="00343AA9" w:rsidTr="00A54518">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b/>
                <w:kern w:val="0"/>
                <w:sz w:val="16"/>
              </w:rPr>
            </w:pPr>
            <w:r w:rsidRPr="00343AA9">
              <w:rPr>
                <w:rFonts w:ascii="Times New Roman" w:eastAsia="Calibri" w:hAnsi="Times New Roman" w:cs="Times New Roman"/>
                <w:b/>
                <w:kern w:val="0"/>
                <w:sz w:val="16"/>
              </w:rPr>
              <w:t>M19 — Подкрепа за местно развитие по LEADER (ВОМР — водено от общностите местно развитие) (член 35 от Регламент (ЕС) № 1303/2013)</w:t>
            </w:r>
          </w:p>
        </w:tc>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Общи публични разходи (в евро) — подготвителна помощ (19.1)</w:t>
            </w:r>
          </w:p>
        </w:tc>
        <w:tc>
          <w:tcPr>
            <w:tcW w:w="1000" w:type="pct"/>
            <w:shd w:val="clear" w:color="auto" w:fill="FFFFFF"/>
            <w:tcMar>
              <w:top w:w="60" w:type="dxa"/>
            </w:tcMar>
            <w:vAlign w:val="center"/>
          </w:tcPr>
          <w:p w:rsidR="00343AA9" w:rsidRPr="00343AA9" w:rsidRDefault="00343AA9" w:rsidP="00343AA9">
            <w:pPr>
              <w:widowControl/>
              <w:suppressAutoHyphens w:val="0"/>
              <w:autoSpaceDN/>
              <w:spacing w:before="20" w:after="20"/>
              <w:jc w:val="right"/>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2 766 442,20</w:t>
            </w:r>
          </w:p>
        </w:tc>
      </w:tr>
      <w:tr w:rsidR="00343AA9" w:rsidRPr="00343AA9" w:rsidTr="00A54518">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b/>
                <w:kern w:val="0"/>
                <w:sz w:val="16"/>
              </w:rPr>
            </w:pPr>
            <w:r w:rsidRPr="00343AA9">
              <w:rPr>
                <w:rFonts w:ascii="Times New Roman" w:eastAsia="Calibri" w:hAnsi="Times New Roman" w:cs="Times New Roman"/>
                <w:b/>
                <w:kern w:val="0"/>
                <w:sz w:val="16"/>
              </w:rPr>
              <w:t>M19 — Подкрепа за местно развитие по LEADER (ВОМР — водено от общностите местно развитие) (член 35 от Регламент (ЕС) № 1303/2013)</w:t>
            </w:r>
          </w:p>
        </w:tc>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Общи публични разходи (в евро) — подкрепа за и</w:t>
            </w:r>
            <w:r w:rsidRPr="00343AA9">
              <w:rPr>
                <w:rFonts w:ascii="Times New Roman" w:eastAsia="Calibri" w:hAnsi="Times New Roman" w:cs="Times New Roman"/>
                <w:kern w:val="0"/>
                <w:sz w:val="16"/>
              </w:rPr>
              <w:t>з</w:t>
            </w:r>
            <w:r w:rsidRPr="00343AA9">
              <w:rPr>
                <w:rFonts w:ascii="Times New Roman" w:eastAsia="Calibri" w:hAnsi="Times New Roman" w:cs="Times New Roman"/>
                <w:kern w:val="0"/>
                <w:sz w:val="16"/>
              </w:rPr>
              <w:t>пълнение на операциите по водена от общностите стратегия за местно развитие (19.2)</w:t>
            </w:r>
          </w:p>
        </w:tc>
        <w:tc>
          <w:tcPr>
            <w:tcW w:w="1000" w:type="pct"/>
            <w:shd w:val="clear" w:color="auto" w:fill="FFFFFF"/>
            <w:tcMar>
              <w:top w:w="60" w:type="dxa"/>
            </w:tcMar>
            <w:vAlign w:val="center"/>
          </w:tcPr>
          <w:p w:rsidR="00343AA9" w:rsidRPr="00343AA9" w:rsidRDefault="00343AA9" w:rsidP="00343AA9">
            <w:pPr>
              <w:widowControl/>
              <w:suppressAutoHyphens w:val="0"/>
              <w:autoSpaceDN/>
              <w:spacing w:before="20" w:after="20"/>
              <w:jc w:val="right"/>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91 663 875,60</w:t>
            </w:r>
          </w:p>
        </w:tc>
      </w:tr>
      <w:tr w:rsidR="00343AA9" w:rsidRPr="00343AA9" w:rsidTr="00A54518">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b/>
                <w:kern w:val="0"/>
                <w:sz w:val="16"/>
              </w:rPr>
            </w:pPr>
            <w:r w:rsidRPr="00343AA9">
              <w:rPr>
                <w:rFonts w:ascii="Times New Roman" w:eastAsia="Calibri" w:hAnsi="Times New Roman" w:cs="Times New Roman"/>
                <w:b/>
                <w:kern w:val="0"/>
                <w:sz w:val="16"/>
              </w:rPr>
              <w:t>M19 — Подкрепа за местно развитие по LEADER (ВОМР — водено от общностите местно развитие) (член 35 от Регламент (ЕС) № 1303/2013)</w:t>
            </w:r>
          </w:p>
        </w:tc>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Общи публични разходи (в евро) — подготовка и изпълнение на дейности за сътрудничество на местн</w:t>
            </w:r>
            <w:r w:rsidRPr="00343AA9">
              <w:rPr>
                <w:rFonts w:ascii="Times New Roman" w:eastAsia="Calibri" w:hAnsi="Times New Roman" w:cs="Times New Roman"/>
                <w:kern w:val="0"/>
                <w:sz w:val="16"/>
              </w:rPr>
              <w:t>а</w:t>
            </w:r>
            <w:r w:rsidRPr="00343AA9">
              <w:rPr>
                <w:rFonts w:ascii="Times New Roman" w:eastAsia="Calibri" w:hAnsi="Times New Roman" w:cs="Times New Roman"/>
                <w:kern w:val="0"/>
                <w:sz w:val="16"/>
              </w:rPr>
              <w:t>та група за действие (19.3)</w:t>
            </w:r>
          </w:p>
        </w:tc>
        <w:tc>
          <w:tcPr>
            <w:tcW w:w="1000" w:type="pct"/>
            <w:shd w:val="clear" w:color="auto" w:fill="FFFFFF"/>
            <w:tcMar>
              <w:top w:w="60" w:type="dxa"/>
            </w:tcMar>
            <w:vAlign w:val="center"/>
          </w:tcPr>
          <w:p w:rsidR="00343AA9" w:rsidRPr="00343AA9" w:rsidRDefault="00343AA9" w:rsidP="00343AA9">
            <w:pPr>
              <w:widowControl/>
              <w:suppressAutoHyphens w:val="0"/>
              <w:autoSpaceDN/>
              <w:spacing w:before="20" w:after="20"/>
              <w:jc w:val="right"/>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6 500 000,00</w:t>
            </w:r>
          </w:p>
        </w:tc>
      </w:tr>
      <w:tr w:rsidR="00343AA9" w:rsidRPr="00343AA9" w:rsidTr="00A54518">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b/>
                <w:kern w:val="0"/>
                <w:sz w:val="16"/>
              </w:rPr>
            </w:pPr>
            <w:r w:rsidRPr="00343AA9">
              <w:rPr>
                <w:rFonts w:ascii="Times New Roman" w:eastAsia="Calibri" w:hAnsi="Times New Roman" w:cs="Times New Roman"/>
                <w:b/>
                <w:kern w:val="0"/>
                <w:sz w:val="16"/>
              </w:rPr>
              <w:t>M19 — Подкрепа за местно развитие по LEADER (ВОМР — водено от общностите местно развитие) (член 35 от Регламент (ЕС) № 1303/2013)</w:t>
            </w:r>
          </w:p>
        </w:tc>
        <w:tc>
          <w:tcPr>
            <w:tcW w:w="2000" w:type="pct"/>
            <w:shd w:val="clear" w:color="auto" w:fill="FFFFFF"/>
            <w:tcMar>
              <w:top w:w="60" w:type="dxa"/>
            </w:tcMar>
            <w:vAlign w:val="center"/>
          </w:tcPr>
          <w:p w:rsidR="00343AA9" w:rsidRPr="00343AA9" w:rsidRDefault="00343AA9" w:rsidP="00343AA9">
            <w:pPr>
              <w:widowControl/>
              <w:suppressAutoHyphens w:val="0"/>
              <w:autoSpaceDN/>
              <w:spacing w:before="20" w:after="20"/>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Общи публични разходи (в евро) — подкрепа за тек</w:t>
            </w:r>
            <w:r w:rsidRPr="00343AA9">
              <w:rPr>
                <w:rFonts w:ascii="Times New Roman" w:eastAsia="Calibri" w:hAnsi="Times New Roman" w:cs="Times New Roman"/>
                <w:kern w:val="0"/>
                <w:sz w:val="16"/>
              </w:rPr>
              <w:t>у</w:t>
            </w:r>
            <w:r w:rsidRPr="00343AA9">
              <w:rPr>
                <w:rFonts w:ascii="Times New Roman" w:eastAsia="Calibri" w:hAnsi="Times New Roman" w:cs="Times New Roman"/>
                <w:kern w:val="0"/>
                <w:sz w:val="16"/>
              </w:rPr>
              <w:t>щи разходи и разходи за стимулиране на интерес (19.4)</w:t>
            </w:r>
          </w:p>
        </w:tc>
        <w:tc>
          <w:tcPr>
            <w:tcW w:w="1000" w:type="pct"/>
            <w:shd w:val="clear" w:color="auto" w:fill="FFFFFF"/>
            <w:tcMar>
              <w:top w:w="60" w:type="dxa"/>
            </w:tcMar>
            <w:vAlign w:val="center"/>
          </w:tcPr>
          <w:p w:rsidR="00343AA9" w:rsidRPr="00343AA9" w:rsidRDefault="00343AA9" w:rsidP="00343AA9">
            <w:pPr>
              <w:widowControl/>
              <w:suppressAutoHyphens w:val="0"/>
              <w:autoSpaceDN/>
              <w:spacing w:before="20" w:after="20"/>
              <w:jc w:val="right"/>
              <w:textAlignment w:val="auto"/>
              <w:rPr>
                <w:rFonts w:ascii="Times New Roman" w:eastAsia="Calibri" w:hAnsi="Times New Roman" w:cs="Times New Roman"/>
                <w:kern w:val="0"/>
                <w:sz w:val="16"/>
              </w:rPr>
            </w:pPr>
            <w:r w:rsidRPr="00343AA9">
              <w:rPr>
                <w:rFonts w:ascii="Times New Roman" w:eastAsia="Calibri" w:hAnsi="Times New Roman" w:cs="Times New Roman"/>
                <w:kern w:val="0"/>
                <w:sz w:val="16"/>
              </w:rPr>
              <w:t>30 553 958,90</w:t>
            </w:r>
          </w:p>
        </w:tc>
      </w:tr>
    </w:tbl>
    <w:p w:rsidR="00343AA9" w:rsidRPr="00343AA9" w:rsidRDefault="00343AA9" w:rsidP="00343AA9">
      <w:pPr>
        <w:widowControl/>
        <w:suppressAutoHyphens w:val="0"/>
        <w:autoSpaceDN/>
        <w:spacing w:after="0" w:line="360" w:lineRule="auto"/>
        <w:jc w:val="both"/>
        <w:textAlignment w:val="auto"/>
        <w:rPr>
          <w:rFonts w:ascii="Times New Roman" w:eastAsia="Calibri" w:hAnsi="Times New Roman" w:cs="Times New Roman"/>
          <w:kern w:val="0"/>
          <w:sz w:val="24"/>
          <w:szCs w:val="24"/>
        </w:rPr>
      </w:pPr>
    </w:p>
    <w:p w:rsidR="004B42FF" w:rsidRPr="00343AA9" w:rsidRDefault="004B42FF" w:rsidP="00343AA9">
      <w:pPr>
        <w:pStyle w:val="Standard"/>
        <w:ind w:left="426"/>
        <w:jc w:val="both"/>
      </w:pPr>
    </w:p>
    <w:p w:rsidR="004B42FF" w:rsidRDefault="004B42FF" w:rsidP="004B42FF">
      <w:pPr>
        <w:pStyle w:val="Standard"/>
        <w:ind w:left="426"/>
        <w:jc w:val="right"/>
        <w:rPr>
          <w:b/>
          <w:i/>
        </w:rPr>
      </w:pPr>
      <w:r>
        <w:rPr>
          <w:b/>
          <w:i/>
        </w:rPr>
        <w:t>Приложение № 9</w:t>
      </w:r>
    </w:p>
    <w:p w:rsidR="004B42FF" w:rsidRDefault="004B42FF" w:rsidP="004B42FF">
      <w:pPr>
        <w:pStyle w:val="Standard"/>
        <w:ind w:left="426"/>
        <w:jc w:val="right"/>
        <w:rPr>
          <w:b/>
          <w:i/>
        </w:rPr>
      </w:pPr>
    </w:p>
    <w:p w:rsidR="00BD3E0A" w:rsidRDefault="00BD3E0A">
      <w:pPr>
        <w:pStyle w:val="Standard"/>
        <w:ind w:left="426"/>
        <w:jc w:val="both"/>
        <w:rPr>
          <w:b/>
          <w:i/>
        </w:rPr>
      </w:pPr>
    </w:p>
    <w:p w:rsidR="00BD3E0A" w:rsidRDefault="0003502D">
      <w:pPr>
        <w:pStyle w:val="Standard"/>
        <w:spacing w:line="360" w:lineRule="auto"/>
        <w:jc w:val="center"/>
      </w:pPr>
      <w:r>
        <w:rPr>
          <w:rFonts w:eastAsia="Calibri"/>
          <w:b/>
          <w:szCs w:val="28"/>
        </w:rPr>
        <w:t>КРИТЕРИИ ЗА ОЦЕНКА НА ПРОЕКТНИ ПРЕДЛОЖЕНИЯ ПО ПОДМЯРКА 1.1</w:t>
      </w:r>
    </w:p>
    <w:p w:rsidR="00BD3E0A" w:rsidRDefault="00BD3E0A">
      <w:pPr>
        <w:pStyle w:val="Standard"/>
        <w:spacing w:line="360" w:lineRule="auto"/>
        <w:jc w:val="both"/>
        <w:rPr>
          <w:rFonts w:eastAsia="Calibri"/>
          <w:b/>
        </w:rPr>
      </w:pPr>
    </w:p>
    <w:p w:rsidR="00BD3E0A" w:rsidRDefault="00432D46">
      <w:pPr>
        <w:pStyle w:val="Standard"/>
        <w:shd w:val="clear" w:color="auto" w:fill="BFBFBF"/>
        <w:spacing w:after="200" w:line="360" w:lineRule="auto"/>
        <w:ind w:left="360"/>
        <w:jc w:val="both"/>
      </w:pPr>
      <w:r>
        <w:rPr>
          <w:rFonts w:eastAsia="Calibri"/>
          <w:b/>
          <w:sz w:val="28"/>
          <w:szCs w:val="28"/>
        </w:rPr>
        <w:t>І.</w:t>
      </w:r>
      <w:r w:rsidR="0003502D">
        <w:rPr>
          <w:rFonts w:eastAsia="Calibri"/>
          <w:b/>
          <w:sz w:val="28"/>
          <w:szCs w:val="28"/>
        </w:rPr>
        <w:t>КРИТЕРИИ ЗА ОЦЕНКА НА ПРОЕКТИ – СЕМНАР 8 ЧАСА</w:t>
      </w:r>
    </w:p>
    <w:p w:rsidR="00BD3E0A" w:rsidRDefault="00BD3E0A">
      <w:pPr>
        <w:pStyle w:val="Standard"/>
        <w:spacing w:line="360" w:lineRule="auto"/>
        <w:ind w:left="1080"/>
        <w:jc w:val="both"/>
        <w:rPr>
          <w:rFonts w:eastAsia="Calibri"/>
        </w:rPr>
      </w:pPr>
    </w:p>
    <w:p w:rsidR="00BD3E0A" w:rsidRDefault="0003502D">
      <w:pPr>
        <w:pStyle w:val="Standard"/>
        <w:shd w:val="clear" w:color="auto" w:fill="0070C0"/>
        <w:spacing w:line="360" w:lineRule="auto"/>
        <w:ind w:left="426"/>
        <w:jc w:val="both"/>
      </w:pPr>
      <w:r>
        <w:rPr>
          <w:rFonts w:eastAsia="Calibri"/>
          <w:b/>
        </w:rPr>
        <w:t>І.4 Семинар (тематична среща) с продължителност 8 часа</w:t>
      </w:r>
    </w:p>
    <w:tbl>
      <w:tblPr>
        <w:tblW w:w="9355" w:type="dxa"/>
        <w:tblInd w:w="534" w:type="dxa"/>
        <w:tblLayout w:type="fixed"/>
        <w:tblCellMar>
          <w:left w:w="10" w:type="dxa"/>
          <w:right w:w="10" w:type="dxa"/>
        </w:tblCellMar>
        <w:tblLook w:val="0000" w:firstRow="0" w:lastRow="0" w:firstColumn="0" w:lastColumn="0" w:noHBand="0" w:noVBand="0"/>
      </w:tblPr>
      <w:tblGrid>
        <w:gridCol w:w="1167"/>
        <w:gridCol w:w="3969"/>
        <w:gridCol w:w="1843"/>
        <w:gridCol w:w="2376"/>
      </w:tblGrid>
      <w:tr w:rsidR="00BD3E0A" w:rsidTr="00432D46">
        <w:trPr>
          <w:trHeight w:val="1080"/>
        </w:trPr>
        <w:tc>
          <w:tcPr>
            <w:tcW w:w="1167" w:type="dxa"/>
            <w:tcBorders>
              <w:top w:val="single" w:sz="4" w:space="0" w:color="00000A"/>
              <w:left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Приоритет/Критерии за оценка</w:t>
            </w:r>
          </w:p>
        </w:tc>
        <w:tc>
          <w:tcPr>
            <w:tcW w:w="3969"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Семинар 1 (тематична среща) на тема: …………………………………………………………………………………………………………. с продължителност 8 часа</w:t>
            </w:r>
          </w:p>
        </w:tc>
        <w:tc>
          <w:tcPr>
            <w:tcW w:w="1843"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Максимален брой точки за Приоритет/ Критерий за оценка</w:t>
            </w:r>
          </w:p>
        </w:tc>
        <w:tc>
          <w:tcPr>
            <w:tcW w:w="2376"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Съответствие с критериите за оценка</w:t>
            </w:r>
          </w:p>
        </w:tc>
      </w:tr>
      <w:tr w:rsidR="00BD3E0A" w:rsidTr="00432D46">
        <w:trPr>
          <w:trHeight w:val="690"/>
        </w:trPr>
        <w:tc>
          <w:tcPr>
            <w:tcW w:w="1167"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I</w:t>
            </w:r>
          </w:p>
        </w:tc>
        <w:tc>
          <w:tcPr>
            <w:tcW w:w="3969"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Оценка на семинарната програма в съответствие с приоритетите, посочени в раздел 8.2.1.2;</w:t>
            </w:r>
          </w:p>
        </w:tc>
        <w:tc>
          <w:tcPr>
            <w:tcW w:w="1843"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60</w:t>
            </w:r>
          </w:p>
        </w:tc>
        <w:tc>
          <w:tcPr>
            <w:tcW w:w="2376"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 </w:t>
            </w:r>
          </w:p>
        </w:tc>
      </w:tr>
      <w:tr w:rsidR="00BD3E0A" w:rsidTr="00432D46">
        <w:trPr>
          <w:trHeight w:val="2323"/>
        </w:trPr>
        <w:tc>
          <w:tcPr>
            <w:tcW w:w="116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t>1.1</w:t>
            </w:r>
          </w:p>
        </w:tc>
        <w:tc>
          <w:tcPr>
            <w:tcW w:w="3969"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В семинарната програма са включени модул/модули, свързани с приоритетни теми за подмярката, насочени към: </w:t>
            </w:r>
            <w:r>
              <w:rPr>
                <w:sz w:val="22"/>
                <w:szCs w:val="22"/>
              </w:rPr>
              <w:br/>
              <w:t>1. Фокус област 3A)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 -</w:t>
            </w:r>
            <w:r>
              <w:rPr>
                <w:b/>
                <w:bCs/>
                <w:sz w:val="22"/>
                <w:szCs w:val="22"/>
              </w:rPr>
              <w:t xml:space="preserve"> 6 т.</w:t>
            </w:r>
            <w:r>
              <w:rPr>
                <w:sz w:val="22"/>
                <w:szCs w:val="22"/>
              </w:rPr>
              <w:t>;</w:t>
            </w:r>
            <w:r>
              <w:rPr>
                <w:sz w:val="22"/>
                <w:szCs w:val="22"/>
              </w:rPr>
              <w:br/>
              <w:t xml:space="preserve">2. Фокус област 3Б) Подпомагане на превенцията и управлението на риска </w:t>
            </w:r>
            <w:r>
              <w:rPr>
                <w:sz w:val="22"/>
                <w:szCs w:val="22"/>
              </w:rPr>
              <w:lastRenderedPageBreak/>
              <w:t xml:space="preserve">на стопанствата - </w:t>
            </w:r>
            <w:r>
              <w:rPr>
                <w:b/>
                <w:bCs/>
                <w:sz w:val="22"/>
                <w:szCs w:val="22"/>
              </w:rPr>
              <w:t>6 т</w:t>
            </w:r>
            <w:r>
              <w:rPr>
                <w:sz w:val="22"/>
                <w:szCs w:val="22"/>
              </w:rPr>
              <w:t>.</w:t>
            </w:r>
            <w:r>
              <w:rPr>
                <w:sz w:val="22"/>
                <w:szCs w:val="22"/>
              </w:rPr>
              <w:br/>
              <w:t xml:space="preserve">3. Фокус област 5Б) Повишаване на ефективността при потреблението на енергия в селското стопанство и хранително-вкусовата промишленост - </w:t>
            </w:r>
            <w:r>
              <w:rPr>
                <w:b/>
                <w:bCs/>
                <w:sz w:val="22"/>
                <w:szCs w:val="22"/>
              </w:rPr>
              <w:t>6 т.</w:t>
            </w:r>
            <w:r>
              <w:rPr>
                <w:b/>
                <w:bCs/>
                <w:sz w:val="22"/>
                <w:szCs w:val="22"/>
              </w:rPr>
              <w:br/>
            </w:r>
            <w:r>
              <w:rPr>
                <w:sz w:val="22"/>
                <w:szCs w:val="22"/>
              </w:rPr>
              <w:t xml:space="preserve">4. Фокус област 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 - </w:t>
            </w:r>
            <w:r>
              <w:rPr>
                <w:b/>
                <w:bCs/>
                <w:sz w:val="22"/>
                <w:szCs w:val="22"/>
              </w:rPr>
              <w:t>6 т.</w:t>
            </w:r>
            <w:r>
              <w:rPr>
                <w:sz w:val="22"/>
                <w:szCs w:val="22"/>
              </w:rPr>
              <w:br/>
              <w:t xml:space="preserve">5. Фокус област 5Г) Намаляване на емисиите на парникови газове и амоняк от селското стопанство - </w:t>
            </w:r>
            <w:r>
              <w:rPr>
                <w:b/>
                <w:bCs/>
                <w:sz w:val="22"/>
                <w:szCs w:val="22"/>
              </w:rPr>
              <w:t>6 т.</w:t>
            </w:r>
            <w:r>
              <w:rPr>
                <w:sz w:val="22"/>
                <w:szCs w:val="22"/>
              </w:rPr>
              <w:br/>
              <w:t xml:space="preserve">6. Фокус област 5Д) Стимулиране на съхраняването и поглъщането на въглерода в сектора на селското и горското стопанство     -   </w:t>
            </w:r>
            <w:r>
              <w:rPr>
                <w:b/>
                <w:bCs/>
                <w:sz w:val="22"/>
                <w:szCs w:val="22"/>
              </w:rPr>
              <w:t>6 т.</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lastRenderedPageBreak/>
              <w:t>36</w:t>
            </w:r>
          </w:p>
        </w:tc>
        <w:tc>
          <w:tcPr>
            <w:tcW w:w="2376"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Съответствие на модулите от учебната програма за семинара с логиката на интервенциите за съответната фокус област, съгласно ПРСР 2014-2020.</w:t>
            </w:r>
          </w:p>
        </w:tc>
      </w:tr>
      <w:tr w:rsidR="00BD3E0A" w:rsidTr="00432D46">
        <w:trPr>
          <w:trHeight w:val="175"/>
        </w:trPr>
        <w:tc>
          <w:tcPr>
            <w:tcW w:w="116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lastRenderedPageBreak/>
              <w:t>1.2</w:t>
            </w:r>
          </w:p>
        </w:tc>
        <w:tc>
          <w:tcPr>
            <w:tcW w:w="3969"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Над 20% от часовете в семинарната програма включват тема и въпроси, свързани със: </w:t>
            </w:r>
            <w:r>
              <w:rPr>
                <w:sz w:val="22"/>
                <w:szCs w:val="22"/>
              </w:rPr>
              <w:br/>
              <w:t xml:space="preserve">- смекчаване на последиците от изменението на климата и адаптиране към него; </w:t>
            </w:r>
            <w:r>
              <w:rPr>
                <w:sz w:val="22"/>
                <w:szCs w:val="22"/>
              </w:rPr>
              <w:br/>
              <w:t>и/или</w:t>
            </w:r>
            <w:r>
              <w:rPr>
                <w:sz w:val="22"/>
                <w:szCs w:val="22"/>
              </w:rPr>
              <w:br/>
              <w:t>- опазване на околната среда;</w:t>
            </w:r>
            <w:r>
              <w:rPr>
                <w:sz w:val="22"/>
                <w:szCs w:val="22"/>
              </w:rPr>
              <w:br/>
              <w:t>и/или</w:t>
            </w:r>
            <w:r>
              <w:rPr>
                <w:sz w:val="22"/>
                <w:szCs w:val="22"/>
              </w:rPr>
              <w:br/>
              <w:t>- иновации;</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t>12</w:t>
            </w:r>
          </w:p>
        </w:tc>
        <w:tc>
          <w:tcPr>
            <w:tcW w:w="2376"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Брой часове от учебната програма за семинара, насочени към посочените теми.</w:t>
            </w:r>
          </w:p>
        </w:tc>
      </w:tr>
      <w:tr w:rsidR="00BD3E0A" w:rsidTr="00432D46">
        <w:trPr>
          <w:trHeight w:val="1530"/>
        </w:trPr>
        <w:tc>
          <w:tcPr>
            <w:tcW w:w="116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t>1.3</w:t>
            </w:r>
          </w:p>
        </w:tc>
        <w:tc>
          <w:tcPr>
            <w:tcW w:w="3969"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В семинара е предвидено включването на участници, които отговарят на следното условие: </w:t>
            </w:r>
            <w:r>
              <w:rPr>
                <w:sz w:val="22"/>
                <w:szCs w:val="22"/>
              </w:rPr>
              <w:br/>
              <w:t>- са малки стопанства, одобрени за подпомагане по мерки от Тематичната подпрограма за малки стопанства по ПРСР 2014-2020;</w:t>
            </w:r>
          </w:p>
          <w:p w:rsidR="00BD3E0A" w:rsidRDefault="0003502D">
            <w:pPr>
              <w:pStyle w:val="Standard"/>
              <w:jc w:val="both"/>
            </w:pPr>
            <w:r>
              <w:rPr>
                <w:sz w:val="22"/>
                <w:szCs w:val="22"/>
              </w:rPr>
              <w:t>и/или</w:t>
            </w:r>
            <w:r>
              <w:rPr>
                <w:sz w:val="22"/>
                <w:szCs w:val="22"/>
              </w:rPr>
              <w:br/>
              <w:t>- са млади земеделски стопани или са одобрени за подпомагане по подмярка 6.1 от ПРСР 2014-2020;</w:t>
            </w:r>
          </w:p>
          <w:p w:rsidR="00BD3E0A" w:rsidRDefault="00BD3E0A">
            <w:pPr>
              <w:pStyle w:val="Standard"/>
              <w:jc w:val="both"/>
              <w:rPr>
                <w:sz w:val="22"/>
                <w:szCs w:val="22"/>
              </w:rPr>
            </w:pP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pPr>
            <w:r>
              <w:rPr>
                <w:sz w:val="22"/>
                <w:szCs w:val="22"/>
              </w:rPr>
              <w:t>От 10% до 20% от обучаемите отговарят на посоченото условие – 6 т.;</w:t>
            </w:r>
          </w:p>
          <w:p w:rsidR="00BD3E0A" w:rsidRDefault="0003502D">
            <w:pPr>
              <w:pStyle w:val="Standard"/>
            </w:pPr>
            <w:r>
              <w:rPr>
                <w:sz w:val="22"/>
                <w:szCs w:val="22"/>
              </w:rPr>
              <w:t>Над 20% от обучаемите отговарят на посоченото условие – 12 т.;</w:t>
            </w:r>
          </w:p>
        </w:tc>
        <w:tc>
          <w:tcPr>
            <w:tcW w:w="2376"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Доказан брой на потенциални участници за включване в семинара;</w:t>
            </w:r>
          </w:p>
          <w:p w:rsidR="00BD3E0A" w:rsidRDefault="00BD3E0A">
            <w:pPr>
              <w:pStyle w:val="Standard"/>
              <w:jc w:val="both"/>
              <w:rPr>
                <w:sz w:val="22"/>
                <w:szCs w:val="22"/>
              </w:rPr>
            </w:pPr>
          </w:p>
        </w:tc>
      </w:tr>
      <w:tr w:rsidR="00BD3E0A" w:rsidTr="00432D46">
        <w:trPr>
          <w:trHeight w:val="630"/>
        </w:trPr>
        <w:tc>
          <w:tcPr>
            <w:tcW w:w="1167"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2</w:t>
            </w:r>
          </w:p>
        </w:tc>
        <w:tc>
          <w:tcPr>
            <w:tcW w:w="3969"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sz w:val="22"/>
                <w:szCs w:val="22"/>
              </w:rPr>
              <w:t>Оценка на специфичния професионален опит на лекторите, които провеждат семинара;</w:t>
            </w:r>
          </w:p>
        </w:tc>
        <w:tc>
          <w:tcPr>
            <w:tcW w:w="1843"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30</w:t>
            </w:r>
          </w:p>
        </w:tc>
        <w:tc>
          <w:tcPr>
            <w:tcW w:w="2376"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 </w:t>
            </w:r>
          </w:p>
        </w:tc>
      </w:tr>
      <w:tr w:rsidR="00BD3E0A" w:rsidTr="00432D46">
        <w:trPr>
          <w:trHeight w:val="253"/>
        </w:trPr>
        <w:tc>
          <w:tcPr>
            <w:tcW w:w="116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t>2.1</w:t>
            </w:r>
          </w:p>
        </w:tc>
        <w:tc>
          <w:tcPr>
            <w:tcW w:w="3969"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5 години преподавателски и/или практически опит в областта на темата/модула, която ще се дискутира в съответния семинар.</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t>30</w:t>
            </w:r>
          </w:p>
        </w:tc>
        <w:tc>
          <w:tcPr>
            <w:tcW w:w="2376"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На оценка подлежат представените към проектното предложение документи за лекторите свързани с доказване на съответният опит.</w:t>
            </w:r>
          </w:p>
          <w:p w:rsidR="00BD3E0A" w:rsidRDefault="00BD3E0A">
            <w:pPr>
              <w:pStyle w:val="Standard"/>
              <w:jc w:val="both"/>
              <w:rPr>
                <w:sz w:val="22"/>
                <w:szCs w:val="22"/>
              </w:rPr>
            </w:pPr>
          </w:p>
          <w:p w:rsidR="00BD3E0A" w:rsidRDefault="0003502D">
            <w:pPr>
              <w:pStyle w:val="Standard"/>
              <w:jc w:val="both"/>
            </w:pPr>
            <w:r>
              <w:rPr>
                <w:sz w:val="22"/>
                <w:szCs w:val="22"/>
              </w:rPr>
              <w:t xml:space="preserve">При повече от един лектор за посочения семинар, точките, определени за опит на всеки лектор се сумират и се разделят </w:t>
            </w:r>
            <w:r>
              <w:rPr>
                <w:sz w:val="22"/>
                <w:szCs w:val="22"/>
              </w:rPr>
              <w:lastRenderedPageBreak/>
              <w:t>на общия брой лектори. Оценката по Приоритет 2 е средно аритметична.</w:t>
            </w:r>
            <w:r>
              <w:rPr>
                <w:sz w:val="22"/>
                <w:szCs w:val="22"/>
              </w:rPr>
              <w:br/>
            </w:r>
            <w:r>
              <w:rPr>
                <w:i/>
                <w:iCs/>
                <w:sz w:val="22"/>
                <w:szCs w:val="22"/>
              </w:rPr>
              <w:t xml:space="preserve">(Например курс с трима лектори: лектор 1 - 20 т., лектор 2 - 30 т. и лектор 3 - 15 т.  (20+30+15)/3; </w:t>
            </w:r>
            <w:r>
              <w:rPr>
                <w:i/>
                <w:iCs/>
                <w:sz w:val="22"/>
                <w:szCs w:val="22"/>
              </w:rPr>
              <w:br/>
              <w:t>Обща оценка по критерия - 21,67)</w:t>
            </w:r>
          </w:p>
        </w:tc>
      </w:tr>
      <w:tr w:rsidR="00BD3E0A" w:rsidTr="00432D46">
        <w:trPr>
          <w:trHeight w:val="1275"/>
        </w:trPr>
        <w:tc>
          <w:tcPr>
            <w:tcW w:w="116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t>2.2</w:t>
            </w:r>
          </w:p>
        </w:tc>
        <w:tc>
          <w:tcPr>
            <w:tcW w:w="3969"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w:t>
            </w:r>
            <w:r>
              <w:rPr>
                <w:sz w:val="22"/>
                <w:szCs w:val="22"/>
              </w:rPr>
              <w:lastRenderedPageBreak/>
              <w:t>ще представя в семинара и над 3 години преподавателски и/или практически опит в областта на темата/модула, която ще се дискутира в съответния семинар.</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lastRenderedPageBreak/>
              <w:t>20</w:t>
            </w:r>
          </w:p>
        </w:tc>
        <w:tc>
          <w:tcPr>
            <w:tcW w:w="2376"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1335"/>
        </w:trPr>
        <w:tc>
          <w:tcPr>
            <w:tcW w:w="116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lastRenderedPageBreak/>
              <w:t>2.3</w:t>
            </w:r>
          </w:p>
        </w:tc>
        <w:tc>
          <w:tcPr>
            <w:tcW w:w="3969"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2 години преподавателски и/или практически опит в областта на темата/модула, която ще се дискутира в съответния семинар.</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t>15</w:t>
            </w:r>
          </w:p>
        </w:tc>
        <w:tc>
          <w:tcPr>
            <w:tcW w:w="2376"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960"/>
        </w:trPr>
        <w:tc>
          <w:tcPr>
            <w:tcW w:w="116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t>2.4</w:t>
            </w:r>
          </w:p>
        </w:tc>
        <w:tc>
          <w:tcPr>
            <w:tcW w:w="3969"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1 година преподавателски и/или практически опит в областта на темата/модула, която ще се дискутира в съответния семинар.</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t>5</w:t>
            </w:r>
          </w:p>
        </w:tc>
        <w:tc>
          <w:tcPr>
            <w:tcW w:w="2376"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705"/>
        </w:trPr>
        <w:tc>
          <w:tcPr>
            <w:tcW w:w="1167"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III</w:t>
            </w:r>
          </w:p>
        </w:tc>
        <w:tc>
          <w:tcPr>
            <w:tcW w:w="3969"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sz w:val="22"/>
                <w:szCs w:val="22"/>
              </w:rPr>
              <w:t>Оценка на методите и формите на представяне на темата на семинара (онагледяване, казуси или практическо обучение)</w:t>
            </w:r>
          </w:p>
        </w:tc>
        <w:tc>
          <w:tcPr>
            <w:tcW w:w="1843"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10</w:t>
            </w:r>
          </w:p>
        </w:tc>
        <w:tc>
          <w:tcPr>
            <w:tcW w:w="2376"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center"/>
            </w:pPr>
            <w:r>
              <w:rPr>
                <w:b/>
                <w:bCs/>
                <w:sz w:val="22"/>
                <w:szCs w:val="22"/>
              </w:rPr>
              <w:t> </w:t>
            </w:r>
          </w:p>
        </w:tc>
      </w:tr>
      <w:tr w:rsidR="00BD3E0A" w:rsidTr="00432D46">
        <w:trPr>
          <w:trHeight w:val="985"/>
        </w:trPr>
        <w:tc>
          <w:tcPr>
            <w:tcW w:w="116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t>3.1</w:t>
            </w:r>
          </w:p>
        </w:tc>
        <w:tc>
          <w:tcPr>
            <w:tcW w:w="3969"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В програмата подробно и обосновано е представена информация за следните компоненти:</w:t>
            </w:r>
            <w:r>
              <w:rPr>
                <w:sz w:val="22"/>
                <w:szCs w:val="22"/>
              </w:rPr>
              <w:br/>
              <w:t>- методите на представяне;</w:t>
            </w:r>
            <w:r>
              <w:rPr>
                <w:sz w:val="22"/>
                <w:szCs w:val="22"/>
              </w:rPr>
              <w:br/>
              <w:t>- материалната база и съответствието й с целите и модулите на семинара;</w:t>
            </w:r>
            <w:r>
              <w:rPr>
                <w:sz w:val="22"/>
                <w:szCs w:val="22"/>
              </w:rPr>
              <w:br/>
              <w:t>- информационни материали и технически средства;</w:t>
            </w:r>
            <w:r>
              <w:rPr>
                <w:sz w:val="22"/>
                <w:szCs w:val="22"/>
              </w:rPr>
              <w:br/>
              <w:t>- целевите групи и контрол;</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t>6</w:t>
            </w:r>
          </w:p>
        </w:tc>
        <w:tc>
          <w:tcPr>
            <w:tcW w:w="2376"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t> </w:t>
            </w:r>
          </w:p>
        </w:tc>
      </w:tr>
      <w:tr w:rsidR="00BD3E0A" w:rsidTr="00432D46">
        <w:trPr>
          <w:trHeight w:val="1783"/>
        </w:trPr>
        <w:tc>
          <w:tcPr>
            <w:tcW w:w="1167"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t>3.2</w:t>
            </w:r>
          </w:p>
        </w:tc>
        <w:tc>
          <w:tcPr>
            <w:tcW w:w="3969"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В програмата подробно и обосновано е представена информация само за част от следните компоненти:</w:t>
            </w:r>
            <w:r>
              <w:rPr>
                <w:sz w:val="22"/>
                <w:szCs w:val="22"/>
              </w:rPr>
              <w:br/>
              <w:t>- методите на представяне;</w:t>
            </w:r>
            <w:r>
              <w:rPr>
                <w:sz w:val="22"/>
                <w:szCs w:val="22"/>
              </w:rPr>
              <w:br/>
              <w:t>- материалната база и съответствието й с целите и модулите на семинара;</w:t>
            </w:r>
            <w:r>
              <w:rPr>
                <w:sz w:val="22"/>
                <w:szCs w:val="22"/>
              </w:rPr>
              <w:br/>
              <w:t>- информационни материали и технически средства;</w:t>
            </w:r>
            <w:r>
              <w:rPr>
                <w:sz w:val="22"/>
                <w:szCs w:val="22"/>
              </w:rPr>
              <w:br/>
              <w:t>- целевите групи и контрол;</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t>3</w:t>
            </w:r>
          </w:p>
        </w:tc>
        <w:tc>
          <w:tcPr>
            <w:tcW w:w="2376"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985"/>
        </w:trPr>
        <w:tc>
          <w:tcPr>
            <w:tcW w:w="1167" w:type="dxa"/>
            <w:tcBorders>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b/>
                <w:bCs/>
                <w:sz w:val="22"/>
                <w:szCs w:val="22"/>
              </w:rPr>
              <w:t>3.3</w:t>
            </w:r>
          </w:p>
        </w:tc>
        <w:tc>
          <w:tcPr>
            <w:tcW w:w="3969" w:type="dxa"/>
            <w:tcBorders>
              <w:bottom w:val="single" w:sz="4" w:space="0" w:color="auto"/>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Наличие на осигурен финансов ресурс за провеждане на курса/семинара, в размер не по - малък от 30% от стойността му.</w:t>
            </w:r>
          </w:p>
        </w:tc>
        <w:tc>
          <w:tcPr>
            <w:tcW w:w="1843" w:type="dxa"/>
            <w:tcBorders>
              <w:bottom w:val="single" w:sz="4" w:space="0" w:color="auto"/>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center"/>
            </w:pPr>
            <w:r>
              <w:rPr>
                <w:sz w:val="22"/>
                <w:szCs w:val="22"/>
              </w:rPr>
              <w:t>4</w:t>
            </w:r>
          </w:p>
        </w:tc>
        <w:tc>
          <w:tcPr>
            <w:tcW w:w="2376" w:type="dxa"/>
            <w:tcBorders>
              <w:bottom w:val="single" w:sz="4" w:space="0" w:color="auto"/>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Стойността на съответния курс/семинар се определя в зависимост от вида му и планирания брой обучаеми.</w:t>
            </w:r>
          </w:p>
        </w:tc>
      </w:tr>
      <w:tr w:rsidR="004A3022" w:rsidTr="00432D46">
        <w:trPr>
          <w:trHeight w:val="619"/>
        </w:trPr>
        <w:tc>
          <w:tcPr>
            <w:tcW w:w="11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4A3022" w:rsidRDefault="004A3022">
            <w:pPr>
              <w:pStyle w:val="Standard"/>
              <w:jc w:val="center"/>
              <w:rPr>
                <w:b/>
                <w:bCs/>
                <w:sz w:val="22"/>
                <w:szCs w:val="22"/>
              </w:rPr>
            </w:pP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4A3022" w:rsidRPr="004A3022" w:rsidRDefault="004A3022">
            <w:pPr>
              <w:pStyle w:val="Standard"/>
              <w:jc w:val="both"/>
              <w:rPr>
                <w:b/>
                <w:bCs/>
                <w:sz w:val="22"/>
                <w:szCs w:val="22"/>
              </w:rPr>
            </w:pPr>
            <w:r>
              <w:rPr>
                <w:b/>
                <w:bCs/>
                <w:sz w:val="22"/>
                <w:szCs w:val="22"/>
              </w:rPr>
              <w:t xml:space="preserve"> </w:t>
            </w:r>
            <w:r w:rsidRPr="004A3022">
              <w:rPr>
                <w:b/>
                <w:bCs/>
                <w:sz w:val="22"/>
                <w:szCs w:val="22"/>
              </w:rPr>
              <w:t>ОБЩ БРОЙ ТОЧКИ</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4A3022" w:rsidRDefault="004A3022">
            <w:pPr>
              <w:pStyle w:val="Standard"/>
              <w:jc w:val="center"/>
              <w:rPr>
                <w:sz w:val="22"/>
                <w:szCs w:val="22"/>
              </w:rPr>
            </w:pPr>
            <w:r>
              <w:rPr>
                <w:sz w:val="22"/>
                <w:szCs w:val="22"/>
              </w:rPr>
              <w:t>100</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rsidR="004A3022" w:rsidRDefault="004A3022">
            <w:pPr>
              <w:pStyle w:val="Standard"/>
              <w:jc w:val="both"/>
              <w:rPr>
                <w:sz w:val="22"/>
                <w:szCs w:val="22"/>
              </w:rPr>
            </w:pPr>
          </w:p>
        </w:tc>
      </w:tr>
    </w:tbl>
    <w:p w:rsidR="00BD3E0A" w:rsidRDefault="00BD3E0A">
      <w:pPr>
        <w:pStyle w:val="Standard"/>
        <w:spacing w:line="360" w:lineRule="auto"/>
        <w:jc w:val="both"/>
        <w:rPr>
          <w:rFonts w:eastAsia="Calibri"/>
          <w:sz w:val="22"/>
          <w:szCs w:val="22"/>
        </w:rPr>
      </w:pPr>
    </w:p>
    <w:p w:rsidR="00BD3E0A" w:rsidRDefault="0003502D">
      <w:pPr>
        <w:pStyle w:val="Standard"/>
        <w:shd w:val="clear" w:color="auto" w:fill="BFBFBF"/>
        <w:tabs>
          <w:tab w:val="left" w:pos="720"/>
        </w:tabs>
        <w:spacing w:after="200" w:line="360" w:lineRule="auto"/>
        <w:ind w:left="360"/>
        <w:jc w:val="both"/>
      </w:pPr>
      <w:r>
        <w:rPr>
          <w:rFonts w:eastAsia="Calibri"/>
          <w:b/>
        </w:rPr>
        <w:t xml:space="preserve">  ІІ. ОБЩА ОЦЕНКА НА ПРОЕКТНОТО ПРЕДЛОЖЕНИЕ</w:t>
      </w:r>
    </w:p>
    <w:p w:rsidR="00BD3E0A" w:rsidRDefault="0003502D">
      <w:pPr>
        <w:pStyle w:val="Standard"/>
        <w:spacing w:line="360" w:lineRule="auto"/>
        <w:ind w:left="360"/>
        <w:jc w:val="both"/>
      </w:pPr>
      <w:r>
        <w:rPr>
          <w:rFonts w:eastAsia="Calibri"/>
          <w:sz w:val="22"/>
        </w:rPr>
        <w:lastRenderedPageBreak/>
        <w:t>Общата оценка на един проект се определя от средната оценка от всички включени в проекта дейности /курсове и/или семинари/.</w:t>
      </w:r>
    </w:p>
    <w:p w:rsidR="00BD3E0A" w:rsidRDefault="0003502D">
      <w:pPr>
        <w:pStyle w:val="Standard"/>
        <w:spacing w:line="360" w:lineRule="auto"/>
        <w:ind w:left="360"/>
        <w:jc w:val="both"/>
      </w:pPr>
      <w:r>
        <w:rPr>
          <w:rFonts w:eastAsia="Calibri"/>
          <w:sz w:val="22"/>
        </w:rPr>
        <w:t>Определя се минимален брой точки, който трябва да бъде постигнат за всеки курс или семинар, за да бъде допустим за подкрепа - 50 точки.</w:t>
      </w:r>
    </w:p>
    <w:p w:rsidR="00BD3E0A" w:rsidRDefault="0003502D">
      <w:pPr>
        <w:pStyle w:val="Standard"/>
        <w:spacing w:line="360" w:lineRule="auto"/>
        <w:ind w:left="360"/>
        <w:jc w:val="both"/>
      </w:pPr>
      <w:r>
        <w:rPr>
          <w:rFonts w:eastAsia="Calibri"/>
          <w:sz w:val="22"/>
        </w:rPr>
        <w:t>В случаите на проекти само с една дейност /курс или семинар/, полученият брой точки при оценката на тази дейност е равна на общата оценката на съответния проект</w:t>
      </w:r>
      <w:r>
        <w:rPr>
          <w:rFonts w:eastAsia="Calibri"/>
        </w:rPr>
        <w:t>.</w:t>
      </w:r>
    </w:p>
    <w:p w:rsidR="00BD3E0A" w:rsidRDefault="0003502D">
      <w:pPr>
        <w:pStyle w:val="Standard"/>
        <w:shd w:val="clear" w:color="auto" w:fill="BFBFBF"/>
        <w:tabs>
          <w:tab w:val="left" w:pos="720"/>
        </w:tabs>
        <w:spacing w:after="200" w:line="360" w:lineRule="auto"/>
        <w:ind w:left="360"/>
        <w:jc w:val="both"/>
      </w:pPr>
      <w:r>
        <w:rPr>
          <w:rFonts w:eastAsia="Calibri"/>
          <w:b/>
        </w:rPr>
        <w:tab/>
        <w:t>ІІІ.ДРУГИ</w:t>
      </w:r>
    </w:p>
    <w:p w:rsidR="00BD3E0A" w:rsidRDefault="0003502D">
      <w:pPr>
        <w:pStyle w:val="Standard"/>
        <w:spacing w:line="360" w:lineRule="auto"/>
        <w:ind w:left="426" w:hanging="426"/>
        <w:jc w:val="both"/>
      </w:pPr>
      <w:r>
        <w:rPr>
          <w:rFonts w:eastAsia="Calibri"/>
          <w:sz w:val="22"/>
          <w:szCs w:val="22"/>
        </w:rPr>
        <w:t>При оценка на проектните предложения ще бъде оценявана представената учебна програма за съответния курс/семинар. Примерни документи за доказване на опит на лекторите – автобиография, диплома за висше образование; и/или документи, доказващи опит /трудова книжка, служебна книжка; и/или документ от работодател за придобития опит  и/или стаж. Примерни документи за доказване на осигурен финансов ресурс: Банкови документи, удостоверяващи наличието на финансов ресурс на разположение на обучаващата организация – банкова референция, извлечение от банкова сметка, банкова гаранция или др., извлечение от счетоводната система за налични средства към датата на кандидатстване (за бюджетни организации)</w:t>
      </w:r>
    </w:p>
    <w:p w:rsidR="00BD3E0A" w:rsidRDefault="00BD3E0A">
      <w:pPr>
        <w:pStyle w:val="Standard"/>
        <w:ind w:left="993"/>
        <w:jc w:val="both"/>
        <w:rPr>
          <w:b/>
          <w:i/>
        </w:rPr>
      </w:pPr>
    </w:p>
    <w:p w:rsidR="00BD3E0A" w:rsidRDefault="00BD3E0A">
      <w:pPr>
        <w:pStyle w:val="Standard"/>
        <w:spacing w:line="360" w:lineRule="auto"/>
        <w:jc w:val="both"/>
        <w:rPr>
          <w:rFonts w:eastAsia="Calibri"/>
          <w:b/>
        </w:rPr>
      </w:pPr>
    </w:p>
    <w:p w:rsidR="00BD3E0A" w:rsidRDefault="0003502D" w:rsidP="00432D46">
      <w:pPr>
        <w:pStyle w:val="Standard"/>
        <w:numPr>
          <w:ilvl w:val="0"/>
          <w:numId w:val="37"/>
        </w:numPr>
        <w:shd w:val="clear" w:color="auto" w:fill="BFBFBF"/>
        <w:spacing w:after="200" w:line="360" w:lineRule="auto"/>
        <w:ind w:left="426" w:right="423"/>
        <w:jc w:val="both"/>
      </w:pPr>
      <w:r>
        <w:rPr>
          <w:rFonts w:eastAsia="Calibri"/>
          <w:b/>
          <w:szCs w:val="28"/>
        </w:rPr>
        <w:t>КРИТЕРИИ ЗА ОЦЕНКА НА ПРОЕКТИ – КУРС 30 ЧАСА</w:t>
      </w:r>
    </w:p>
    <w:p w:rsidR="00BD3E0A" w:rsidRDefault="00BD3E0A">
      <w:pPr>
        <w:pStyle w:val="Standard"/>
        <w:spacing w:line="360" w:lineRule="auto"/>
        <w:ind w:left="426"/>
        <w:jc w:val="both"/>
        <w:rPr>
          <w:rFonts w:eastAsia="Calibri"/>
          <w:b/>
        </w:rPr>
      </w:pPr>
    </w:p>
    <w:p w:rsidR="00BD3E0A" w:rsidRDefault="0003502D" w:rsidP="00432D46">
      <w:pPr>
        <w:pStyle w:val="Standard"/>
        <w:shd w:val="clear" w:color="auto" w:fill="0070C0"/>
        <w:spacing w:line="360" w:lineRule="auto"/>
        <w:ind w:left="284" w:right="423" w:firstLine="142"/>
        <w:jc w:val="both"/>
      </w:pPr>
      <w:r>
        <w:rPr>
          <w:rFonts w:eastAsia="Calibri"/>
          <w:b/>
        </w:rPr>
        <w:t>I.1 Курс за обучение с продължителност 30 часа</w:t>
      </w:r>
    </w:p>
    <w:tbl>
      <w:tblPr>
        <w:tblW w:w="9072" w:type="dxa"/>
        <w:tblInd w:w="426" w:type="dxa"/>
        <w:tblLayout w:type="fixed"/>
        <w:tblCellMar>
          <w:left w:w="10" w:type="dxa"/>
          <w:right w:w="10" w:type="dxa"/>
        </w:tblCellMar>
        <w:tblLook w:val="0000" w:firstRow="0" w:lastRow="0" w:firstColumn="0" w:lastColumn="0" w:noHBand="0" w:noVBand="0"/>
      </w:tblPr>
      <w:tblGrid>
        <w:gridCol w:w="1701"/>
        <w:gridCol w:w="3542"/>
        <w:gridCol w:w="1984"/>
        <w:gridCol w:w="1845"/>
      </w:tblGrid>
      <w:tr w:rsidR="00BD3E0A">
        <w:trPr>
          <w:trHeight w:val="1200"/>
        </w:trPr>
        <w:tc>
          <w:tcPr>
            <w:tcW w:w="1700" w:type="dxa"/>
            <w:tcBorders>
              <w:top w:val="single" w:sz="4" w:space="0" w:color="00000A"/>
              <w:left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Приоритет/ Критерии за оценка</w:t>
            </w:r>
          </w:p>
        </w:tc>
        <w:tc>
          <w:tcPr>
            <w:tcW w:w="3542"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ind w:left="426"/>
              <w:jc w:val="center"/>
            </w:pPr>
            <w:r>
              <w:rPr>
                <w:b/>
                <w:bCs/>
                <w:sz w:val="22"/>
                <w:szCs w:val="22"/>
              </w:rPr>
              <w:t>Курс 1 ………………………………………………………………………………………………………… за обучение с продължителност 30 часа</w:t>
            </w:r>
          </w:p>
        </w:tc>
        <w:tc>
          <w:tcPr>
            <w:tcW w:w="1984"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ind w:left="426"/>
              <w:jc w:val="center"/>
            </w:pPr>
            <w:r>
              <w:rPr>
                <w:b/>
                <w:bCs/>
                <w:sz w:val="22"/>
                <w:szCs w:val="22"/>
              </w:rPr>
              <w:t>Максимален брой точки за Приоритет/ Критерий за оценка</w:t>
            </w:r>
          </w:p>
        </w:tc>
        <w:tc>
          <w:tcPr>
            <w:tcW w:w="1845"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Съответствие с критериите за оценка</w:t>
            </w:r>
          </w:p>
        </w:tc>
      </w:tr>
      <w:tr w:rsidR="00BD3E0A">
        <w:trPr>
          <w:trHeight w:val="780"/>
        </w:trPr>
        <w:tc>
          <w:tcPr>
            <w:tcW w:w="1700"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I</w:t>
            </w:r>
          </w:p>
        </w:tc>
        <w:tc>
          <w:tcPr>
            <w:tcW w:w="3542"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sz w:val="22"/>
                <w:szCs w:val="22"/>
              </w:rPr>
              <w:t>Оценка на учебната програма в съответствие с приоритетите посочени в раздел 8.2.1.2;</w:t>
            </w:r>
          </w:p>
        </w:tc>
        <w:tc>
          <w:tcPr>
            <w:tcW w:w="198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60</w:t>
            </w:r>
          </w:p>
        </w:tc>
        <w:tc>
          <w:tcPr>
            <w:tcW w:w="1845"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r>
      <w:tr w:rsidR="00BD3E0A">
        <w:trPr>
          <w:trHeight w:val="1165"/>
        </w:trPr>
        <w:tc>
          <w:tcPr>
            <w:tcW w:w="170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1.1</w:t>
            </w:r>
          </w:p>
        </w:tc>
        <w:tc>
          <w:tcPr>
            <w:tcW w:w="354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В учебната програма са включени модул/модули с учебни часове по следните теми, насочени към: </w:t>
            </w:r>
            <w:r>
              <w:rPr>
                <w:sz w:val="22"/>
                <w:szCs w:val="22"/>
              </w:rPr>
              <w:br/>
              <w:t xml:space="preserve">1. Фокус област 2А)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 - </w:t>
            </w:r>
            <w:r>
              <w:rPr>
                <w:b/>
                <w:bCs/>
                <w:sz w:val="22"/>
                <w:szCs w:val="22"/>
              </w:rPr>
              <w:t>8 т.</w:t>
            </w:r>
            <w:r>
              <w:rPr>
                <w:sz w:val="22"/>
                <w:szCs w:val="22"/>
              </w:rPr>
              <w:t>;</w:t>
            </w:r>
            <w:r>
              <w:rPr>
                <w:sz w:val="22"/>
                <w:szCs w:val="22"/>
              </w:rPr>
              <w:br/>
              <w:t xml:space="preserve">2. Фокус област 3Б) Подпомагане на превенцията и управлението на риска на стопанствата - </w:t>
            </w:r>
            <w:r>
              <w:rPr>
                <w:b/>
                <w:bCs/>
                <w:sz w:val="22"/>
                <w:szCs w:val="22"/>
              </w:rPr>
              <w:t>8 т.</w:t>
            </w:r>
            <w:r>
              <w:rPr>
                <w:sz w:val="22"/>
                <w:szCs w:val="22"/>
              </w:rPr>
              <w:br/>
              <w:t xml:space="preserve">3. Фокус област 4В) Предотвратяване на ерозията на </w:t>
            </w:r>
            <w:r>
              <w:rPr>
                <w:sz w:val="22"/>
                <w:szCs w:val="22"/>
              </w:rPr>
              <w:lastRenderedPageBreak/>
              <w:t xml:space="preserve">почвите и подобряване на управлението им - </w:t>
            </w:r>
            <w:r>
              <w:rPr>
                <w:b/>
                <w:bCs/>
                <w:sz w:val="22"/>
                <w:szCs w:val="22"/>
              </w:rPr>
              <w:t>8 т.</w:t>
            </w:r>
            <w:r>
              <w:rPr>
                <w:sz w:val="22"/>
                <w:szCs w:val="22"/>
              </w:rPr>
              <w:br/>
              <w:t>4. Фокус област 5А) Повишаване на ефективността при потреблението на вода в селското стопанство -</w:t>
            </w:r>
            <w:r>
              <w:rPr>
                <w:b/>
                <w:bCs/>
                <w:sz w:val="22"/>
                <w:szCs w:val="22"/>
              </w:rPr>
              <w:t xml:space="preserve"> 8 т.</w:t>
            </w:r>
            <w:r>
              <w:rPr>
                <w:sz w:val="22"/>
                <w:szCs w:val="22"/>
              </w:rPr>
              <w:br/>
              <w:t xml:space="preserve">5. Фокус област 5Д) Стимулиране на съхраняването и поглъщането на въглерода в сектора на селското и горското стопанство - </w:t>
            </w:r>
            <w:r>
              <w:rPr>
                <w:b/>
                <w:bCs/>
                <w:sz w:val="22"/>
                <w:szCs w:val="22"/>
              </w:rPr>
              <w:t>8 т.</w:t>
            </w:r>
          </w:p>
        </w:tc>
        <w:tc>
          <w:tcPr>
            <w:tcW w:w="198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lastRenderedPageBreak/>
              <w:t>40</w:t>
            </w:r>
          </w:p>
        </w:tc>
        <w:tc>
          <w:tcPr>
            <w:tcW w:w="184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Съответствие на модулите от учебната програма с логиката на интервенциите за съответната фокус област съгласно ПРСР 2014-2020.</w:t>
            </w:r>
          </w:p>
        </w:tc>
      </w:tr>
      <w:tr w:rsidR="00BD3E0A">
        <w:trPr>
          <w:trHeight w:val="1785"/>
        </w:trPr>
        <w:tc>
          <w:tcPr>
            <w:tcW w:w="170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lastRenderedPageBreak/>
              <w:t>1.2</w:t>
            </w:r>
          </w:p>
        </w:tc>
        <w:tc>
          <w:tcPr>
            <w:tcW w:w="354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Над 20% от часовете в учебната програма включват тема и въпроси, свързани със: </w:t>
            </w:r>
            <w:r>
              <w:rPr>
                <w:sz w:val="22"/>
                <w:szCs w:val="22"/>
              </w:rPr>
              <w:br/>
              <w:t>- смекчаване на последиците от изменението на климата и адаптиране към него; и/или</w:t>
            </w:r>
            <w:r>
              <w:rPr>
                <w:sz w:val="22"/>
                <w:szCs w:val="22"/>
              </w:rPr>
              <w:br/>
              <w:t>- опазване на околната среда;</w:t>
            </w:r>
            <w:r>
              <w:rPr>
                <w:sz w:val="22"/>
                <w:szCs w:val="22"/>
              </w:rPr>
              <w:br/>
              <w:t xml:space="preserve"> и/или</w:t>
            </w:r>
            <w:r>
              <w:rPr>
                <w:sz w:val="22"/>
                <w:szCs w:val="22"/>
              </w:rPr>
              <w:br/>
              <w:t>- иновации;</w:t>
            </w:r>
          </w:p>
        </w:tc>
        <w:tc>
          <w:tcPr>
            <w:tcW w:w="198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10</w:t>
            </w:r>
          </w:p>
        </w:tc>
        <w:tc>
          <w:tcPr>
            <w:tcW w:w="184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Брой часове от учебната програма, насочени към посочените теми.</w:t>
            </w:r>
          </w:p>
        </w:tc>
      </w:tr>
      <w:tr w:rsidR="00BD3E0A">
        <w:trPr>
          <w:trHeight w:val="1530"/>
        </w:trPr>
        <w:tc>
          <w:tcPr>
            <w:tcW w:w="170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1.3</w:t>
            </w:r>
          </w:p>
        </w:tc>
        <w:tc>
          <w:tcPr>
            <w:tcW w:w="354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В курса е предвидено включването на обучаеми, които отговарят на следното условие:</w:t>
            </w:r>
            <w:r>
              <w:rPr>
                <w:sz w:val="22"/>
                <w:szCs w:val="22"/>
              </w:rPr>
              <w:br/>
              <w:t>- са малки стопанства,одобрени за подпомагане по мерки от Тематичната подпрограма за малки стопанства по ПРСР 2014-2020;</w:t>
            </w:r>
          </w:p>
          <w:p w:rsidR="00BD3E0A" w:rsidRDefault="0003502D">
            <w:pPr>
              <w:pStyle w:val="Standard"/>
              <w:jc w:val="both"/>
            </w:pPr>
            <w:r>
              <w:rPr>
                <w:sz w:val="22"/>
                <w:szCs w:val="22"/>
              </w:rPr>
              <w:t>и/или</w:t>
            </w:r>
            <w:r>
              <w:rPr>
                <w:sz w:val="22"/>
                <w:szCs w:val="22"/>
              </w:rPr>
              <w:br/>
              <w:t>- са млади земеделски стопани или са одобрени за подпомагане по подмярка 6.1 от ПРСР 2014-2020;</w:t>
            </w:r>
          </w:p>
          <w:p w:rsidR="00BD3E0A" w:rsidRDefault="00BD3E0A">
            <w:pPr>
              <w:pStyle w:val="Standard"/>
              <w:ind w:left="426"/>
              <w:rPr>
                <w:sz w:val="22"/>
                <w:szCs w:val="22"/>
              </w:rPr>
            </w:pPr>
          </w:p>
        </w:tc>
        <w:tc>
          <w:tcPr>
            <w:tcW w:w="198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pPr>
            <w:r>
              <w:rPr>
                <w:sz w:val="22"/>
                <w:szCs w:val="22"/>
              </w:rPr>
              <w:t>От 10% до 20% от обучаемите отговарят на посоченото условие – 5 т.;</w:t>
            </w:r>
          </w:p>
          <w:p w:rsidR="00BD3E0A" w:rsidRDefault="0003502D">
            <w:pPr>
              <w:pStyle w:val="Standard"/>
            </w:pPr>
            <w:r>
              <w:rPr>
                <w:sz w:val="22"/>
                <w:szCs w:val="22"/>
              </w:rPr>
              <w:t>Над 20% от обучаемите отговарят на посоченото условие – 10 т.;</w:t>
            </w:r>
          </w:p>
        </w:tc>
        <w:tc>
          <w:tcPr>
            <w:tcW w:w="184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Доказан брой на потенциални участници за включване в обучение;</w:t>
            </w:r>
          </w:p>
          <w:p w:rsidR="00BD3E0A" w:rsidRDefault="00BD3E0A">
            <w:pPr>
              <w:pStyle w:val="Standard"/>
              <w:ind w:left="426"/>
              <w:jc w:val="center"/>
              <w:rPr>
                <w:sz w:val="22"/>
                <w:szCs w:val="22"/>
              </w:rPr>
            </w:pPr>
          </w:p>
        </w:tc>
      </w:tr>
      <w:tr w:rsidR="00BD3E0A">
        <w:trPr>
          <w:trHeight w:val="510"/>
        </w:trPr>
        <w:tc>
          <w:tcPr>
            <w:tcW w:w="1700"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2</w:t>
            </w:r>
          </w:p>
        </w:tc>
        <w:tc>
          <w:tcPr>
            <w:tcW w:w="3542"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sz w:val="22"/>
                <w:szCs w:val="22"/>
              </w:rPr>
              <w:t>Оценка на специфичния професионален опит на лекторите, които провеждат обучението;</w:t>
            </w:r>
          </w:p>
        </w:tc>
        <w:tc>
          <w:tcPr>
            <w:tcW w:w="198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30</w:t>
            </w:r>
          </w:p>
        </w:tc>
        <w:tc>
          <w:tcPr>
            <w:tcW w:w="1845"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r>
      <w:tr w:rsidR="00BD3E0A">
        <w:trPr>
          <w:trHeight w:val="265"/>
        </w:trPr>
        <w:tc>
          <w:tcPr>
            <w:tcW w:w="170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2.1</w:t>
            </w:r>
          </w:p>
        </w:tc>
        <w:tc>
          <w:tcPr>
            <w:tcW w:w="354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5 години преподавателски и/или практически опит в областта на темата/модула, по която ще преподава в съответния курс.</w:t>
            </w:r>
          </w:p>
        </w:tc>
        <w:tc>
          <w:tcPr>
            <w:tcW w:w="198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30</w:t>
            </w:r>
          </w:p>
        </w:tc>
        <w:tc>
          <w:tcPr>
            <w:tcW w:w="1845"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На оценка подлежат представените към проектното предложение документи за лекторите свързани с доказване на съответният опит.</w:t>
            </w:r>
          </w:p>
          <w:p w:rsidR="00BD3E0A" w:rsidRDefault="00BD3E0A">
            <w:pPr>
              <w:pStyle w:val="Standard"/>
              <w:jc w:val="both"/>
              <w:rPr>
                <w:sz w:val="22"/>
                <w:szCs w:val="22"/>
              </w:rPr>
            </w:pPr>
          </w:p>
          <w:p w:rsidR="00BD3E0A" w:rsidRDefault="0003502D">
            <w:pPr>
              <w:pStyle w:val="Standard"/>
              <w:jc w:val="both"/>
            </w:pPr>
            <w:r>
              <w:rPr>
                <w:sz w:val="22"/>
                <w:szCs w:val="22"/>
              </w:rPr>
              <w:t xml:space="preserve">При повече от един лектор за посочения курс, точките, определени за опит на всеки лектор се сумират и се разделят на общия брой </w:t>
            </w:r>
            <w:r>
              <w:rPr>
                <w:sz w:val="22"/>
                <w:szCs w:val="22"/>
              </w:rPr>
              <w:lastRenderedPageBreak/>
              <w:t>лектори. Оценката по Приоритет 2 е средно аритметична.</w:t>
            </w:r>
            <w:r>
              <w:rPr>
                <w:sz w:val="22"/>
                <w:szCs w:val="22"/>
              </w:rPr>
              <w:br/>
            </w:r>
            <w:r>
              <w:rPr>
                <w:i/>
                <w:iCs/>
                <w:sz w:val="22"/>
                <w:szCs w:val="22"/>
              </w:rPr>
              <w:t>(Например курс с трима лектори: лектор 1 - 20 т., лектор 2 - 30 т. и лектор 3 - 15 т.  (20+30+15)/3;</w:t>
            </w:r>
          </w:p>
          <w:p w:rsidR="00BD3E0A" w:rsidRDefault="0003502D">
            <w:pPr>
              <w:pStyle w:val="Standard"/>
              <w:jc w:val="both"/>
            </w:pPr>
            <w:r>
              <w:rPr>
                <w:i/>
                <w:iCs/>
                <w:sz w:val="22"/>
                <w:szCs w:val="22"/>
              </w:rPr>
              <w:t>Обща оценка по критерия - 21,67)</w:t>
            </w:r>
          </w:p>
        </w:tc>
      </w:tr>
      <w:tr w:rsidR="00BD3E0A">
        <w:trPr>
          <w:trHeight w:val="1020"/>
        </w:trPr>
        <w:tc>
          <w:tcPr>
            <w:tcW w:w="170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2.2</w:t>
            </w:r>
          </w:p>
        </w:tc>
        <w:tc>
          <w:tcPr>
            <w:tcW w:w="354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3 години преподавателски и/или практически опит в областта на темата/модула, по която ще преподава в съответния курс.</w:t>
            </w:r>
          </w:p>
        </w:tc>
        <w:tc>
          <w:tcPr>
            <w:tcW w:w="198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20</w:t>
            </w:r>
          </w:p>
        </w:tc>
        <w:tc>
          <w:tcPr>
            <w:tcW w:w="1845"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trPr>
          <w:trHeight w:val="1020"/>
        </w:trPr>
        <w:tc>
          <w:tcPr>
            <w:tcW w:w="170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lastRenderedPageBreak/>
              <w:t>2.3</w:t>
            </w:r>
          </w:p>
        </w:tc>
        <w:tc>
          <w:tcPr>
            <w:tcW w:w="354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2 години преподавателски и/или практически опит в областта на темата/модула, по която ще преподава в съответния курс.</w:t>
            </w:r>
          </w:p>
        </w:tc>
        <w:tc>
          <w:tcPr>
            <w:tcW w:w="198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15</w:t>
            </w:r>
          </w:p>
        </w:tc>
        <w:tc>
          <w:tcPr>
            <w:tcW w:w="1845"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trPr>
          <w:trHeight w:val="1020"/>
        </w:trPr>
        <w:tc>
          <w:tcPr>
            <w:tcW w:w="170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lastRenderedPageBreak/>
              <w:t>2.4</w:t>
            </w:r>
          </w:p>
        </w:tc>
        <w:tc>
          <w:tcPr>
            <w:tcW w:w="354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 по която ще преподава в съответния курс и най – малко 1 година преподавателски и/или практически опит в областта на темата/модула, по която ще преподава в съответния курс.</w:t>
            </w:r>
          </w:p>
        </w:tc>
        <w:tc>
          <w:tcPr>
            <w:tcW w:w="198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5</w:t>
            </w:r>
          </w:p>
        </w:tc>
        <w:tc>
          <w:tcPr>
            <w:tcW w:w="1845"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trPr>
          <w:trHeight w:val="510"/>
        </w:trPr>
        <w:tc>
          <w:tcPr>
            <w:tcW w:w="1700" w:type="dxa"/>
            <w:tcBorders>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ind w:left="426"/>
              <w:jc w:val="center"/>
            </w:pPr>
            <w:r>
              <w:rPr>
                <w:b/>
                <w:bCs/>
                <w:sz w:val="22"/>
                <w:szCs w:val="22"/>
              </w:rPr>
              <w:t>III</w:t>
            </w:r>
          </w:p>
        </w:tc>
        <w:tc>
          <w:tcPr>
            <w:tcW w:w="3542" w:type="dxa"/>
            <w:tcBorders>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jc w:val="both"/>
            </w:pPr>
            <w:r>
              <w:rPr>
                <w:b/>
                <w:bCs/>
                <w:sz w:val="22"/>
                <w:szCs w:val="22"/>
              </w:rPr>
              <w:t>Оценка на методите и формите на обучение (онагледяване, казуси или практическо обучение).</w:t>
            </w:r>
          </w:p>
        </w:tc>
        <w:tc>
          <w:tcPr>
            <w:tcW w:w="1984" w:type="dxa"/>
            <w:tcBorders>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ind w:left="426"/>
              <w:jc w:val="center"/>
            </w:pPr>
            <w:r>
              <w:rPr>
                <w:b/>
                <w:bCs/>
                <w:sz w:val="22"/>
                <w:szCs w:val="22"/>
              </w:rPr>
              <w:t>10</w:t>
            </w:r>
          </w:p>
        </w:tc>
        <w:tc>
          <w:tcPr>
            <w:tcW w:w="1845" w:type="dxa"/>
            <w:tcBorders>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r>
      <w:tr w:rsidR="00BD3E0A">
        <w:trPr>
          <w:trHeight w:val="557"/>
        </w:trPr>
        <w:tc>
          <w:tcPr>
            <w:tcW w:w="170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3.1</w:t>
            </w:r>
          </w:p>
        </w:tc>
        <w:tc>
          <w:tcPr>
            <w:tcW w:w="354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В учебната програма подробно и обосновано е представена информация за следните компоненти:</w:t>
            </w:r>
            <w:r>
              <w:rPr>
                <w:sz w:val="22"/>
                <w:szCs w:val="22"/>
              </w:rPr>
              <w:br/>
              <w:t>- методите на работа за теоретично и практическо обучение и съотношение на практика към теория, в случай, че е приложимо;</w:t>
            </w:r>
            <w:r>
              <w:rPr>
                <w:sz w:val="22"/>
                <w:szCs w:val="22"/>
              </w:rPr>
              <w:br/>
              <w:t>- материалната база и съответствието й с целите и модулите на обучението;</w:t>
            </w:r>
            <w:r>
              <w:rPr>
                <w:sz w:val="22"/>
                <w:szCs w:val="22"/>
              </w:rPr>
              <w:br/>
              <w:t>- учебни материали и технически средства;</w:t>
            </w:r>
            <w:r>
              <w:rPr>
                <w:sz w:val="22"/>
                <w:szCs w:val="22"/>
              </w:rPr>
              <w:br/>
              <w:t>- учебни помагала;</w:t>
            </w:r>
          </w:p>
          <w:p w:rsidR="00BD3E0A" w:rsidRDefault="0003502D">
            <w:pPr>
              <w:pStyle w:val="Standard"/>
              <w:ind w:left="426"/>
              <w:jc w:val="both"/>
            </w:pPr>
            <w:r>
              <w:rPr>
                <w:sz w:val="22"/>
                <w:szCs w:val="22"/>
              </w:rPr>
              <w:t>- целевите групи и контрол;</w:t>
            </w:r>
          </w:p>
        </w:tc>
        <w:tc>
          <w:tcPr>
            <w:tcW w:w="198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6</w:t>
            </w:r>
          </w:p>
        </w:tc>
        <w:tc>
          <w:tcPr>
            <w:tcW w:w="1845"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 </w:t>
            </w:r>
          </w:p>
        </w:tc>
      </w:tr>
      <w:tr w:rsidR="00BD3E0A">
        <w:trPr>
          <w:trHeight w:val="1252"/>
        </w:trPr>
        <w:tc>
          <w:tcPr>
            <w:tcW w:w="170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3.2</w:t>
            </w:r>
          </w:p>
        </w:tc>
        <w:tc>
          <w:tcPr>
            <w:tcW w:w="354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В учебната програма  подробно и обосновано е представена информация само за част от следните компоненти:</w:t>
            </w:r>
          </w:p>
          <w:p w:rsidR="00BD3E0A" w:rsidRDefault="0003502D">
            <w:pPr>
              <w:pStyle w:val="Standard"/>
              <w:jc w:val="both"/>
            </w:pPr>
            <w:r>
              <w:rPr>
                <w:sz w:val="22"/>
                <w:szCs w:val="22"/>
              </w:rPr>
              <w:t>- методите на работа за теоретично и практическо обучение и съотношение на практика към теория, в случай, че е приложимо;</w:t>
            </w:r>
          </w:p>
          <w:p w:rsidR="00BD3E0A" w:rsidRDefault="0003502D">
            <w:pPr>
              <w:pStyle w:val="Standard"/>
              <w:jc w:val="both"/>
            </w:pPr>
            <w:r>
              <w:rPr>
                <w:sz w:val="22"/>
                <w:szCs w:val="22"/>
              </w:rPr>
              <w:t>- материалната база и съответствието и с целите и модулите на обучението;</w:t>
            </w:r>
          </w:p>
          <w:p w:rsidR="00BD3E0A" w:rsidRDefault="0003502D">
            <w:pPr>
              <w:pStyle w:val="Standard"/>
              <w:jc w:val="both"/>
            </w:pPr>
            <w:r>
              <w:rPr>
                <w:sz w:val="22"/>
                <w:szCs w:val="22"/>
              </w:rPr>
              <w:t>- учебни материали и технически средства;</w:t>
            </w:r>
          </w:p>
          <w:p w:rsidR="00BD3E0A" w:rsidRDefault="0003502D">
            <w:pPr>
              <w:pStyle w:val="Standard"/>
              <w:jc w:val="both"/>
            </w:pPr>
            <w:r>
              <w:rPr>
                <w:sz w:val="22"/>
                <w:szCs w:val="22"/>
              </w:rPr>
              <w:t>- учебни помагала;</w:t>
            </w:r>
          </w:p>
          <w:p w:rsidR="00BD3E0A" w:rsidRDefault="0003502D">
            <w:pPr>
              <w:pStyle w:val="Standard"/>
              <w:jc w:val="both"/>
            </w:pPr>
            <w:r>
              <w:rPr>
                <w:sz w:val="22"/>
                <w:szCs w:val="22"/>
              </w:rPr>
              <w:t>- целевите групи и контрол;</w:t>
            </w:r>
          </w:p>
        </w:tc>
        <w:tc>
          <w:tcPr>
            <w:tcW w:w="198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3</w:t>
            </w:r>
          </w:p>
        </w:tc>
        <w:tc>
          <w:tcPr>
            <w:tcW w:w="1845"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trPr>
          <w:trHeight w:val="1795"/>
        </w:trPr>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lastRenderedPageBreak/>
              <w:t>3.3</w:t>
            </w:r>
          </w:p>
        </w:tc>
        <w:tc>
          <w:tcPr>
            <w:tcW w:w="3542"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Наличие на осигурен финансов ресурс за провеждане на курса, в размер не по - малък от 30% от стойността му.</w:t>
            </w:r>
          </w:p>
        </w:tc>
        <w:tc>
          <w:tcPr>
            <w:tcW w:w="1984"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4</w:t>
            </w:r>
          </w:p>
        </w:tc>
        <w:tc>
          <w:tcPr>
            <w:tcW w:w="184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Стойността на съответния курс се определя в зависимост от вида му и планирания брой обучаеми.</w:t>
            </w:r>
          </w:p>
        </w:tc>
      </w:tr>
      <w:tr w:rsidR="00BD3E0A">
        <w:trPr>
          <w:trHeight w:val="255"/>
        </w:trPr>
        <w:tc>
          <w:tcPr>
            <w:tcW w:w="1700"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c>
          <w:tcPr>
            <w:tcW w:w="3542"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ОБЩ БРОЙ ТОЧКИ</w:t>
            </w:r>
          </w:p>
        </w:tc>
        <w:tc>
          <w:tcPr>
            <w:tcW w:w="1984"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100</w:t>
            </w:r>
          </w:p>
        </w:tc>
        <w:tc>
          <w:tcPr>
            <w:tcW w:w="1845"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r>
    </w:tbl>
    <w:p w:rsidR="00BD3E0A" w:rsidRDefault="00BD3E0A">
      <w:pPr>
        <w:pStyle w:val="Standard"/>
        <w:spacing w:line="360" w:lineRule="auto"/>
        <w:ind w:left="426"/>
        <w:jc w:val="both"/>
        <w:rPr>
          <w:rFonts w:eastAsia="Calibri"/>
          <w:sz w:val="22"/>
          <w:szCs w:val="22"/>
        </w:rPr>
      </w:pPr>
    </w:p>
    <w:p w:rsidR="00BD3E0A" w:rsidRDefault="0003502D">
      <w:pPr>
        <w:pStyle w:val="Standard"/>
        <w:numPr>
          <w:ilvl w:val="0"/>
          <w:numId w:val="30"/>
        </w:numPr>
        <w:shd w:val="clear" w:color="auto" w:fill="BFBFBF"/>
        <w:tabs>
          <w:tab w:val="left" w:pos="786"/>
        </w:tabs>
        <w:spacing w:after="200" w:line="360" w:lineRule="auto"/>
        <w:ind w:left="426"/>
        <w:jc w:val="both"/>
      </w:pPr>
      <w:r>
        <w:rPr>
          <w:rFonts w:eastAsia="Calibri"/>
          <w:b/>
        </w:rPr>
        <w:t>ОБЩА ОЦЕНКА НА ПРОЕКТНОТО ПРЕДЛОЖЕНИЕ</w:t>
      </w:r>
    </w:p>
    <w:p w:rsidR="00BD3E0A" w:rsidRDefault="0003502D">
      <w:pPr>
        <w:pStyle w:val="Standard"/>
        <w:ind w:left="426"/>
        <w:jc w:val="both"/>
      </w:pPr>
      <w:r>
        <w:rPr>
          <w:rFonts w:eastAsia="Calibri"/>
        </w:rPr>
        <w:t>Общата оценка на един проект се определя от средната оценка от всички, включени в проекта дейности /курсове и/или семинари/.</w:t>
      </w:r>
    </w:p>
    <w:p w:rsidR="00BD3E0A" w:rsidRDefault="0003502D">
      <w:pPr>
        <w:pStyle w:val="Standard"/>
        <w:ind w:left="426"/>
        <w:jc w:val="both"/>
      </w:pPr>
      <w:r>
        <w:rPr>
          <w:rFonts w:eastAsia="Calibri"/>
        </w:rPr>
        <w:t>Определя се минимален брой точки, който трябва да бъде постигнат за всеки курс или семинар, за да бъде допустим за подкрепа - 50 точки.</w:t>
      </w:r>
    </w:p>
    <w:p w:rsidR="00BD3E0A" w:rsidRDefault="0003502D">
      <w:pPr>
        <w:pStyle w:val="Standard"/>
        <w:ind w:left="426"/>
        <w:jc w:val="both"/>
      </w:pPr>
      <w:r>
        <w:rPr>
          <w:rFonts w:eastAsia="Calibri"/>
        </w:rPr>
        <w:t>В случаите на проекти само с една дейност /курс или семинар/, полученият брой точки при оценката на тази дейност е равна на общата оценката на съответния проект.</w:t>
      </w:r>
    </w:p>
    <w:p w:rsidR="00BD3E0A" w:rsidRDefault="00BD3E0A">
      <w:pPr>
        <w:pStyle w:val="Standard"/>
        <w:ind w:left="426"/>
        <w:jc w:val="both"/>
        <w:rPr>
          <w:rFonts w:eastAsia="Calibri"/>
        </w:rPr>
      </w:pPr>
    </w:p>
    <w:p w:rsidR="00BD3E0A" w:rsidRDefault="0003502D" w:rsidP="00432D46">
      <w:pPr>
        <w:pStyle w:val="Standard"/>
        <w:numPr>
          <w:ilvl w:val="0"/>
          <w:numId w:val="30"/>
        </w:numPr>
        <w:shd w:val="clear" w:color="auto" w:fill="BFBFBF"/>
        <w:tabs>
          <w:tab w:val="left" w:pos="786"/>
        </w:tabs>
        <w:spacing w:after="200" w:line="360" w:lineRule="auto"/>
        <w:ind w:left="426" w:right="281"/>
        <w:jc w:val="both"/>
      </w:pPr>
      <w:r>
        <w:rPr>
          <w:rFonts w:eastAsia="Calibri"/>
          <w:b/>
        </w:rPr>
        <w:t xml:space="preserve"> ДРУГИ</w:t>
      </w:r>
    </w:p>
    <w:p w:rsidR="00BD3E0A" w:rsidRDefault="0003502D">
      <w:pPr>
        <w:pStyle w:val="Standard"/>
        <w:ind w:left="426"/>
        <w:jc w:val="both"/>
      </w:pPr>
      <w:r>
        <w:rPr>
          <w:rFonts w:eastAsia="Calibri"/>
        </w:rPr>
        <w:t>При оценка на проектните предложения ще бъде оценявана представената учебна програма за съответния курс/семинар. Примерни документи за доказване на опит на лекторите – автобиография, диплома за висше образование; и/или документи, доказващи опит /трудова книжка, служебна книжка; и/или документ от работодател за придобития опит  и/или стаж. Примерни документи за доказване на осигурен финансов ресурс: банкови документи, удостоверяващи наличието на финансов ресурс на разположение на обучаващата организация – банкова референция, извлечение от банкова сметка, банкова гаранция или др., извлечение от счетоводната система за налични средства към датата на кандидатстване (за бюджетни организации)</w:t>
      </w:r>
    </w:p>
    <w:p w:rsidR="00BD3E0A" w:rsidRDefault="00BD3E0A">
      <w:pPr>
        <w:pStyle w:val="Standard"/>
        <w:ind w:left="426"/>
        <w:jc w:val="both"/>
        <w:rPr>
          <w:b/>
          <w:i/>
        </w:rPr>
      </w:pPr>
    </w:p>
    <w:p w:rsidR="00BD3E0A" w:rsidRDefault="00432D46" w:rsidP="00432D46">
      <w:pPr>
        <w:pStyle w:val="Standard"/>
        <w:shd w:val="clear" w:color="auto" w:fill="BFBFBF"/>
        <w:spacing w:after="200" w:line="360" w:lineRule="auto"/>
        <w:ind w:left="426" w:right="281"/>
        <w:jc w:val="both"/>
      </w:pPr>
      <w:r>
        <w:rPr>
          <w:rFonts w:eastAsia="Calibri"/>
          <w:b/>
          <w:szCs w:val="28"/>
        </w:rPr>
        <w:t>І.</w:t>
      </w:r>
      <w:r w:rsidR="0003502D">
        <w:rPr>
          <w:rFonts w:eastAsia="Calibri"/>
          <w:b/>
          <w:szCs w:val="28"/>
        </w:rPr>
        <w:t>КРИТЕРИИ ЗА ОЦЕНКА НА ПРОЕКТИ – КУРС 100 ЧАСА</w:t>
      </w:r>
    </w:p>
    <w:p w:rsidR="00BD3E0A" w:rsidRDefault="00BD3E0A">
      <w:pPr>
        <w:pStyle w:val="Standard"/>
        <w:spacing w:line="360" w:lineRule="auto"/>
        <w:ind w:left="426"/>
        <w:jc w:val="both"/>
        <w:rPr>
          <w:rFonts w:eastAsia="Calibri"/>
          <w:sz w:val="22"/>
          <w:szCs w:val="22"/>
        </w:rPr>
      </w:pPr>
    </w:p>
    <w:p w:rsidR="00BD3E0A" w:rsidRDefault="0003502D" w:rsidP="00432D46">
      <w:pPr>
        <w:pStyle w:val="Standard"/>
        <w:shd w:val="clear" w:color="auto" w:fill="0070C0"/>
        <w:spacing w:line="360" w:lineRule="auto"/>
        <w:ind w:left="284" w:right="423"/>
        <w:jc w:val="both"/>
      </w:pPr>
      <w:r>
        <w:rPr>
          <w:rFonts w:eastAsia="Calibri"/>
          <w:b/>
        </w:rPr>
        <w:t>I.2 Специализиран курс за обучение с продължителност 100 часа за придобиване на правоспособност за работа със земеделска и горска техника;</w:t>
      </w:r>
    </w:p>
    <w:tbl>
      <w:tblPr>
        <w:tblW w:w="9072" w:type="dxa"/>
        <w:tblInd w:w="426" w:type="dxa"/>
        <w:tblLayout w:type="fixed"/>
        <w:tblCellMar>
          <w:left w:w="10" w:type="dxa"/>
          <w:right w:w="10" w:type="dxa"/>
        </w:tblCellMar>
        <w:tblLook w:val="0000" w:firstRow="0" w:lastRow="0" w:firstColumn="0" w:lastColumn="0" w:noHBand="0" w:noVBand="0"/>
      </w:tblPr>
      <w:tblGrid>
        <w:gridCol w:w="1417"/>
        <w:gridCol w:w="3543"/>
        <w:gridCol w:w="1844"/>
        <w:gridCol w:w="2268"/>
      </w:tblGrid>
      <w:tr w:rsidR="00BD3E0A">
        <w:trPr>
          <w:trHeight w:val="1075"/>
        </w:trPr>
        <w:tc>
          <w:tcPr>
            <w:tcW w:w="1416" w:type="dxa"/>
            <w:tcBorders>
              <w:top w:val="single" w:sz="4" w:space="0" w:color="00000A"/>
              <w:left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ind w:firstLine="33"/>
              <w:jc w:val="center"/>
            </w:pPr>
            <w:r>
              <w:rPr>
                <w:b/>
                <w:bCs/>
                <w:sz w:val="22"/>
                <w:szCs w:val="22"/>
              </w:rPr>
              <w:t>Приоритет/Критерии за оценка</w:t>
            </w:r>
          </w:p>
        </w:tc>
        <w:tc>
          <w:tcPr>
            <w:tcW w:w="3543"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Специализиран курс 1 ……………………………………………………………………………………………………………………… за обучение с продължителност 100 часа за придобиване на правоспособност за работа със земеделска и горска техника;</w:t>
            </w:r>
          </w:p>
        </w:tc>
        <w:tc>
          <w:tcPr>
            <w:tcW w:w="1844"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Максимален брой точки за Приоритет/ Критерий за оценка</w:t>
            </w:r>
          </w:p>
        </w:tc>
        <w:tc>
          <w:tcPr>
            <w:tcW w:w="2268"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ind w:left="426"/>
              <w:jc w:val="center"/>
            </w:pPr>
            <w:r>
              <w:rPr>
                <w:b/>
                <w:bCs/>
                <w:sz w:val="22"/>
                <w:szCs w:val="22"/>
              </w:rPr>
              <w:t>Съответствие с критериите за оценка</w:t>
            </w:r>
          </w:p>
        </w:tc>
      </w:tr>
      <w:tr w:rsidR="00BD3E0A">
        <w:trPr>
          <w:trHeight w:val="510"/>
        </w:trPr>
        <w:tc>
          <w:tcPr>
            <w:tcW w:w="1416"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I</w:t>
            </w:r>
          </w:p>
        </w:tc>
        <w:tc>
          <w:tcPr>
            <w:tcW w:w="3543"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sz w:val="22"/>
                <w:szCs w:val="22"/>
              </w:rPr>
              <w:t>Оценка на учебната програма в съответствие с приоритетите посочени в раздел 8.2.1.2;</w:t>
            </w:r>
          </w:p>
        </w:tc>
        <w:tc>
          <w:tcPr>
            <w:tcW w:w="184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60</w:t>
            </w:r>
          </w:p>
        </w:tc>
        <w:tc>
          <w:tcPr>
            <w:tcW w:w="2268"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r>
      <w:tr w:rsidR="00BD3E0A">
        <w:trPr>
          <w:trHeight w:val="1165"/>
        </w:trPr>
        <w:tc>
          <w:tcPr>
            <w:tcW w:w="141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1.1</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В учебната програма са включени модул/модули с учебни часове по следните теми, насочени към: </w:t>
            </w:r>
            <w:r>
              <w:rPr>
                <w:sz w:val="22"/>
                <w:szCs w:val="22"/>
              </w:rPr>
              <w:br/>
              <w:t xml:space="preserve">1. Фокус област 2А) Подобряване на икономическите резултати на всички земеделски стопанства и улесняване на преструктурирането </w:t>
            </w:r>
            <w:r>
              <w:rPr>
                <w:sz w:val="22"/>
                <w:szCs w:val="22"/>
              </w:rPr>
              <w:lastRenderedPageBreak/>
              <w:t>и модернизирането на стопанствата, особено с оглед на увеличаването на пазарното участие и ориентация и на разнообразяването в селското стопанство -</w:t>
            </w:r>
            <w:r>
              <w:rPr>
                <w:b/>
                <w:bCs/>
                <w:sz w:val="22"/>
                <w:szCs w:val="22"/>
              </w:rPr>
              <w:t xml:space="preserve"> 12 т.</w:t>
            </w:r>
            <w:r>
              <w:rPr>
                <w:sz w:val="22"/>
                <w:szCs w:val="22"/>
              </w:rPr>
              <w:t>;</w:t>
            </w:r>
            <w:r>
              <w:rPr>
                <w:sz w:val="22"/>
                <w:szCs w:val="22"/>
              </w:rPr>
              <w:br/>
              <w:t xml:space="preserve">2. Фокус област 2Б) Улесняване на навлизането на земеделски стопани с подходяща квалификация в селскостопанския сектор, и по-специално приемствеността между поколенията - </w:t>
            </w:r>
            <w:r>
              <w:rPr>
                <w:b/>
                <w:bCs/>
                <w:sz w:val="22"/>
                <w:szCs w:val="22"/>
              </w:rPr>
              <w:t>12 т</w:t>
            </w:r>
            <w:r>
              <w:rPr>
                <w:sz w:val="22"/>
                <w:szCs w:val="22"/>
              </w:rPr>
              <w:t>.</w:t>
            </w:r>
            <w:r>
              <w:rPr>
                <w:sz w:val="22"/>
                <w:szCs w:val="22"/>
              </w:rPr>
              <w:br/>
              <w:t xml:space="preserve">3. Фокус област 5Д) Стимулиране на съхраняването и поглъщането на въглерода в сектора на селското и горското стопанство - </w:t>
            </w:r>
            <w:r>
              <w:rPr>
                <w:b/>
                <w:bCs/>
                <w:sz w:val="22"/>
                <w:szCs w:val="22"/>
              </w:rPr>
              <w:t>12 т.</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lastRenderedPageBreak/>
              <w:t>36</w:t>
            </w:r>
          </w:p>
        </w:tc>
        <w:tc>
          <w:tcPr>
            <w:tcW w:w="2268"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Съответствие на модулите от учебната програма с логиката на интервенциите за съответната фокус област съгласно ПРСР 2014-2020.</w:t>
            </w:r>
          </w:p>
        </w:tc>
      </w:tr>
      <w:tr w:rsidR="00BD3E0A">
        <w:trPr>
          <w:trHeight w:val="253"/>
        </w:trPr>
        <w:tc>
          <w:tcPr>
            <w:tcW w:w="141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lastRenderedPageBreak/>
              <w:t>1.2</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Над 20% от часовете в учебната програма включват тема и въпроси, свързани със: </w:t>
            </w:r>
            <w:r>
              <w:rPr>
                <w:sz w:val="22"/>
                <w:szCs w:val="22"/>
              </w:rPr>
              <w:br/>
              <w:t>- смекчаване на последиците от изменението на климата и адаптиране към него;</w:t>
            </w:r>
          </w:p>
          <w:p w:rsidR="00BD3E0A" w:rsidRDefault="0003502D">
            <w:pPr>
              <w:pStyle w:val="Standard"/>
              <w:ind w:left="426"/>
              <w:jc w:val="both"/>
            </w:pPr>
            <w:r>
              <w:rPr>
                <w:sz w:val="22"/>
                <w:szCs w:val="22"/>
              </w:rPr>
              <w:t>и/или</w:t>
            </w:r>
            <w:r>
              <w:rPr>
                <w:sz w:val="22"/>
                <w:szCs w:val="22"/>
              </w:rPr>
              <w:br/>
              <w:t>- опазване на околната среда;</w:t>
            </w:r>
          </w:p>
          <w:p w:rsidR="00BD3E0A" w:rsidRDefault="0003502D">
            <w:pPr>
              <w:pStyle w:val="Standard"/>
              <w:ind w:left="426"/>
              <w:jc w:val="both"/>
            </w:pPr>
            <w:r>
              <w:rPr>
                <w:sz w:val="22"/>
                <w:szCs w:val="22"/>
              </w:rPr>
              <w:t>и/или</w:t>
            </w:r>
            <w:r>
              <w:rPr>
                <w:sz w:val="22"/>
                <w:szCs w:val="22"/>
              </w:rPr>
              <w:br/>
              <w:t>- иновации;</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12</w:t>
            </w:r>
          </w:p>
        </w:tc>
        <w:tc>
          <w:tcPr>
            <w:tcW w:w="2268"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Брой часове от учебната програма, насочени към посочените теми.</w:t>
            </w:r>
          </w:p>
        </w:tc>
      </w:tr>
      <w:tr w:rsidR="00BD3E0A">
        <w:trPr>
          <w:trHeight w:val="1408"/>
        </w:trPr>
        <w:tc>
          <w:tcPr>
            <w:tcW w:w="141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1.3</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В курса е предвидено включването на обучаеми, които отговарят на следното условие:</w:t>
            </w:r>
            <w:r>
              <w:rPr>
                <w:sz w:val="22"/>
                <w:szCs w:val="22"/>
              </w:rPr>
              <w:br/>
              <w:t>- са малки стопанства,одобрени за подпомагане по мерки от Тематичната подпрограма за малки стопанства по ПРСР 2014-2020;</w:t>
            </w:r>
          </w:p>
          <w:p w:rsidR="00BD3E0A" w:rsidRDefault="0003502D">
            <w:pPr>
              <w:pStyle w:val="Standard"/>
              <w:jc w:val="both"/>
            </w:pPr>
            <w:r>
              <w:rPr>
                <w:sz w:val="22"/>
                <w:szCs w:val="22"/>
              </w:rPr>
              <w:t>и/или</w:t>
            </w:r>
            <w:r>
              <w:rPr>
                <w:sz w:val="22"/>
                <w:szCs w:val="22"/>
              </w:rPr>
              <w:br/>
              <w:t>- са млади земеделски стопани или са одобрени за подпомагане по подмярка 6.1 от ПРСР 2014-2020</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pPr>
            <w:r>
              <w:rPr>
                <w:sz w:val="22"/>
                <w:szCs w:val="22"/>
              </w:rPr>
              <w:t>От 10% до 20% от обучаемите отговарят на посоченото условие – 6 т.;</w:t>
            </w:r>
          </w:p>
          <w:p w:rsidR="00BD3E0A" w:rsidRDefault="0003502D">
            <w:pPr>
              <w:pStyle w:val="Standard"/>
            </w:pPr>
            <w:r>
              <w:rPr>
                <w:sz w:val="22"/>
                <w:szCs w:val="22"/>
              </w:rPr>
              <w:t>Над 20% от обучаемите отговарят на посоченото условие – 12 т.;</w:t>
            </w:r>
          </w:p>
        </w:tc>
        <w:tc>
          <w:tcPr>
            <w:tcW w:w="2268"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Доказан брой на потенциални участници за включване в обучение;</w:t>
            </w:r>
          </w:p>
          <w:p w:rsidR="00BD3E0A" w:rsidRDefault="00BD3E0A">
            <w:pPr>
              <w:pStyle w:val="Standard"/>
              <w:ind w:left="426"/>
              <w:jc w:val="center"/>
              <w:rPr>
                <w:sz w:val="22"/>
                <w:szCs w:val="22"/>
              </w:rPr>
            </w:pPr>
          </w:p>
        </w:tc>
      </w:tr>
      <w:tr w:rsidR="00BD3E0A">
        <w:trPr>
          <w:trHeight w:val="510"/>
        </w:trPr>
        <w:tc>
          <w:tcPr>
            <w:tcW w:w="1416"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2</w:t>
            </w:r>
          </w:p>
        </w:tc>
        <w:tc>
          <w:tcPr>
            <w:tcW w:w="3543"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sz w:val="22"/>
                <w:szCs w:val="22"/>
              </w:rPr>
              <w:t>Оценка на специфичния професионален опит на лекторите, които провеждат обучението;</w:t>
            </w:r>
          </w:p>
        </w:tc>
        <w:tc>
          <w:tcPr>
            <w:tcW w:w="184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30</w:t>
            </w:r>
          </w:p>
        </w:tc>
        <w:tc>
          <w:tcPr>
            <w:tcW w:w="2268"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r>
      <w:tr w:rsidR="00BD3E0A">
        <w:trPr>
          <w:trHeight w:val="625"/>
        </w:trPr>
        <w:tc>
          <w:tcPr>
            <w:tcW w:w="141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2.1</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5 години преподавателски и/или практически опит в областта на темата/модула, по която ще преподава в съответния курс.</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30</w:t>
            </w:r>
          </w:p>
        </w:tc>
        <w:tc>
          <w:tcPr>
            <w:tcW w:w="2268"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На оценка подлежат представените към проектното предложение документи за лекторите свързани с доказване на съответният опит.</w:t>
            </w:r>
          </w:p>
          <w:p w:rsidR="00BD3E0A" w:rsidRDefault="00BD3E0A">
            <w:pPr>
              <w:pStyle w:val="Standard"/>
              <w:jc w:val="both"/>
              <w:rPr>
                <w:sz w:val="22"/>
                <w:szCs w:val="22"/>
              </w:rPr>
            </w:pPr>
          </w:p>
          <w:p w:rsidR="00BD3E0A" w:rsidRDefault="0003502D">
            <w:pPr>
              <w:pStyle w:val="Standard"/>
              <w:jc w:val="both"/>
            </w:pPr>
            <w:r>
              <w:rPr>
                <w:sz w:val="22"/>
                <w:szCs w:val="22"/>
              </w:rPr>
              <w:t xml:space="preserve">При повече от един лектор за посочения курс, точките, определени за опит на всеки лектор се сумират и се разделят на общия брой лектори. Оценката по Приоритет 2 е средно </w:t>
            </w:r>
            <w:r>
              <w:rPr>
                <w:sz w:val="22"/>
                <w:szCs w:val="22"/>
              </w:rPr>
              <w:lastRenderedPageBreak/>
              <w:t>аритметична.</w:t>
            </w:r>
            <w:r>
              <w:rPr>
                <w:sz w:val="22"/>
                <w:szCs w:val="22"/>
              </w:rPr>
              <w:br/>
            </w:r>
            <w:r>
              <w:rPr>
                <w:i/>
                <w:iCs/>
                <w:sz w:val="22"/>
                <w:szCs w:val="22"/>
              </w:rPr>
              <w:t>(Например курс с трима лектори: лектор 1 - 20 т., лектор 2 - 30 т. и лектор 3 - 15 т.  (20+30+15)/3; Обща оценка по критерия - 21,67)</w:t>
            </w:r>
          </w:p>
        </w:tc>
      </w:tr>
      <w:tr w:rsidR="00BD3E0A">
        <w:trPr>
          <w:trHeight w:val="1140"/>
        </w:trPr>
        <w:tc>
          <w:tcPr>
            <w:tcW w:w="141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2.2</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w:t>
            </w:r>
            <w:r>
              <w:rPr>
                <w:sz w:val="22"/>
                <w:szCs w:val="22"/>
              </w:rPr>
              <w:lastRenderedPageBreak/>
              <w:t>над 3 години преподавателски и/или практически опит в областта на темата/модула, по която ще преподава в съответния курс.</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lastRenderedPageBreak/>
              <w:t>20</w:t>
            </w:r>
          </w:p>
        </w:tc>
        <w:tc>
          <w:tcPr>
            <w:tcW w:w="2268"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trPr>
          <w:trHeight w:val="1110"/>
        </w:trPr>
        <w:tc>
          <w:tcPr>
            <w:tcW w:w="141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lastRenderedPageBreak/>
              <w:t>2.3</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2 години преподавателски и/или практически опит в областта на темата/модула, по която ще преподава в съответния курс.</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15</w:t>
            </w:r>
          </w:p>
        </w:tc>
        <w:tc>
          <w:tcPr>
            <w:tcW w:w="2268"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trPr>
          <w:trHeight w:val="945"/>
        </w:trPr>
        <w:tc>
          <w:tcPr>
            <w:tcW w:w="141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2.4</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съответния курс и най – малко 1 година преподавателски и/или практически опит в областта на темата/модула, по която ще преподава в съответния курс.</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5</w:t>
            </w:r>
          </w:p>
        </w:tc>
        <w:tc>
          <w:tcPr>
            <w:tcW w:w="2268"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trPr>
          <w:trHeight w:val="510"/>
        </w:trPr>
        <w:tc>
          <w:tcPr>
            <w:tcW w:w="1416" w:type="dxa"/>
            <w:tcBorders>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ind w:left="426"/>
              <w:jc w:val="center"/>
            </w:pPr>
            <w:r>
              <w:rPr>
                <w:b/>
                <w:bCs/>
                <w:sz w:val="22"/>
                <w:szCs w:val="22"/>
              </w:rPr>
              <w:t>III</w:t>
            </w:r>
          </w:p>
        </w:tc>
        <w:tc>
          <w:tcPr>
            <w:tcW w:w="3543" w:type="dxa"/>
            <w:tcBorders>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jc w:val="both"/>
            </w:pPr>
            <w:r>
              <w:rPr>
                <w:b/>
                <w:bCs/>
                <w:sz w:val="22"/>
                <w:szCs w:val="22"/>
              </w:rPr>
              <w:t>Оценка на методите и формите на обучение (онагледяване, казуси или практическо обучение).</w:t>
            </w:r>
          </w:p>
        </w:tc>
        <w:tc>
          <w:tcPr>
            <w:tcW w:w="1844" w:type="dxa"/>
            <w:tcBorders>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ind w:left="426"/>
              <w:jc w:val="center"/>
            </w:pPr>
            <w:r>
              <w:rPr>
                <w:b/>
                <w:bCs/>
                <w:sz w:val="22"/>
                <w:szCs w:val="22"/>
              </w:rPr>
              <w:t>10</w:t>
            </w:r>
          </w:p>
        </w:tc>
        <w:tc>
          <w:tcPr>
            <w:tcW w:w="2268" w:type="dxa"/>
            <w:tcBorders>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r>
      <w:tr w:rsidR="00BD3E0A">
        <w:trPr>
          <w:trHeight w:val="1905"/>
        </w:trPr>
        <w:tc>
          <w:tcPr>
            <w:tcW w:w="141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3.1</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В учебната програма подробно и обосновано е представена информация за следните компоненти:</w:t>
            </w:r>
            <w:r>
              <w:rPr>
                <w:sz w:val="22"/>
                <w:szCs w:val="22"/>
              </w:rPr>
              <w:br/>
              <w:t>- методите на работа за теоретично и практическо обучение и съотношение на практика към теория, в случай, че е приложимо;</w:t>
            </w:r>
            <w:r>
              <w:rPr>
                <w:sz w:val="22"/>
                <w:szCs w:val="22"/>
              </w:rPr>
              <w:br/>
              <w:t>- материалната база и съответствието й с целите и модулите на обучението;</w:t>
            </w:r>
            <w:r>
              <w:rPr>
                <w:sz w:val="22"/>
                <w:szCs w:val="22"/>
              </w:rPr>
              <w:br/>
              <w:t>- учебни материали и технически средства;</w:t>
            </w:r>
            <w:r>
              <w:rPr>
                <w:sz w:val="22"/>
                <w:szCs w:val="22"/>
              </w:rPr>
              <w:br/>
              <w:t>- учебни помагала;</w:t>
            </w:r>
          </w:p>
          <w:p w:rsidR="00BD3E0A" w:rsidRDefault="0003502D">
            <w:pPr>
              <w:pStyle w:val="Standard"/>
              <w:ind w:left="426"/>
              <w:jc w:val="both"/>
            </w:pPr>
            <w:r>
              <w:rPr>
                <w:sz w:val="22"/>
                <w:szCs w:val="22"/>
              </w:rPr>
              <w:t>- целевите групи и контрол;</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6</w:t>
            </w:r>
          </w:p>
        </w:tc>
        <w:tc>
          <w:tcPr>
            <w:tcW w:w="2268"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 </w:t>
            </w:r>
          </w:p>
        </w:tc>
      </w:tr>
      <w:tr w:rsidR="00BD3E0A">
        <w:trPr>
          <w:trHeight w:val="265"/>
        </w:trPr>
        <w:tc>
          <w:tcPr>
            <w:tcW w:w="141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t>3.2</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В учебната програма  подробно и обосновано е представена информация само за част от следните компоненти:</w:t>
            </w:r>
          </w:p>
          <w:p w:rsidR="00BD3E0A" w:rsidRDefault="0003502D">
            <w:pPr>
              <w:pStyle w:val="Standard"/>
              <w:jc w:val="both"/>
            </w:pPr>
            <w:r>
              <w:rPr>
                <w:sz w:val="22"/>
                <w:szCs w:val="22"/>
              </w:rPr>
              <w:t>- методите на работа за теоретично и практическо обучение и съотношение на практика към теория, в случай, че е приложимо;</w:t>
            </w:r>
          </w:p>
          <w:p w:rsidR="00BD3E0A" w:rsidRDefault="0003502D">
            <w:pPr>
              <w:pStyle w:val="Standard"/>
              <w:jc w:val="both"/>
            </w:pPr>
            <w:r>
              <w:rPr>
                <w:sz w:val="22"/>
                <w:szCs w:val="22"/>
              </w:rPr>
              <w:t>- материалната база и съответствието и с целите и модулите на обучението;</w:t>
            </w:r>
          </w:p>
          <w:p w:rsidR="00BD3E0A" w:rsidRDefault="0003502D">
            <w:pPr>
              <w:pStyle w:val="Standard"/>
              <w:jc w:val="both"/>
            </w:pPr>
            <w:r>
              <w:rPr>
                <w:sz w:val="22"/>
                <w:szCs w:val="22"/>
              </w:rPr>
              <w:t xml:space="preserve">- учебни материали и технически </w:t>
            </w:r>
            <w:r>
              <w:rPr>
                <w:sz w:val="22"/>
                <w:szCs w:val="22"/>
              </w:rPr>
              <w:lastRenderedPageBreak/>
              <w:t>средства;</w:t>
            </w:r>
          </w:p>
          <w:p w:rsidR="00BD3E0A" w:rsidRDefault="0003502D">
            <w:pPr>
              <w:pStyle w:val="Standard"/>
              <w:jc w:val="both"/>
            </w:pPr>
            <w:r>
              <w:rPr>
                <w:sz w:val="22"/>
                <w:szCs w:val="22"/>
              </w:rPr>
              <w:t>- учебни помагала;</w:t>
            </w:r>
          </w:p>
          <w:p w:rsidR="00BD3E0A" w:rsidRDefault="0003502D">
            <w:pPr>
              <w:pStyle w:val="Standard"/>
              <w:jc w:val="both"/>
            </w:pPr>
            <w:r>
              <w:rPr>
                <w:sz w:val="22"/>
                <w:szCs w:val="22"/>
              </w:rPr>
              <w:t>- целевите групи и контрол;</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lastRenderedPageBreak/>
              <w:t>3</w:t>
            </w:r>
          </w:p>
        </w:tc>
        <w:tc>
          <w:tcPr>
            <w:tcW w:w="2268"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trPr>
          <w:trHeight w:val="1522"/>
        </w:trPr>
        <w:tc>
          <w:tcPr>
            <w:tcW w:w="141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sz w:val="22"/>
                <w:szCs w:val="22"/>
              </w:rPr>
              <w:lastRenderedPageBreak/>
              <w:t>3.3</w:t>
            </w:r>
          </w:p>
        </w:tc>
        <w:tc>
          <w:tcPr>
            <w:tcW w:w="354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Наличие на осигурен финансов ресурс за провеждане на курса, в размер не по - малък от 30% от стойността му.</w:t>
            </w:r>
          </w:p>
        </w:tc>
        <w:tc>
          <w:tcPr>
            <w:tcW w:w="18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sz w:val="22"/>
                <w:szCs w:val="22"/>
              </w:rPr>
              <w:t>4</w:t>
            </w:r>
          </w:p>
        </w:tc>
        <w:tc>
          <w:tcPr>
            <w:tcW w:w="2268"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Стойността на съответния курс се определя в зависимост от вида му и планирания брой обучаеми.</w:t>
            </w:r>
          </w:p>
        </w:tc>
      </w:tr>
      <w:tr w:rsidR="00BD3E0A">
        <w:trPr>
          <w:trHeight w:val="300"/>
        </w:trPr>
        <w:tc>
          <w:tcPr>
            <w:tcW w:w="1416"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c>
          <w:tcPr>
            <w:tcW w:w="3543" w:type="dxa"/>
            <w:tcBorders>
              <w:top w:val="single" w:sz="4" w:space="0" w:color="00000A"/>
              <w:left w:val="single" w:sz="4" w:space="0" w:color="00000A"/>
              <w:bottom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ОБЩ БРОЙ ТОЧКИ</w:t>
            </w:r>
          </w:p>
        </w:tc>
        <w:tc>
          <w:tcPr>
            <w:tcW w:w="1844"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100</w:t>
            </w:r>
          </w:p>
        </w:tc>
        <w:tc>
          <w:tcPr>
            <w:tcW w:w="2268"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sz w:val="22"/>
                <w:szCs w:val="22"/>
              </w:rPr>
              <w:t> </w:t>
            </w:r>
          </w:p>
        </w:tc>
      </w:tr>
    </w:tbl>
    <w:p w:rsidR="00BD3E0A" w:rsidRDefault="00BD3E0A">
      <w:pPr>
        <w:pStyle w:val="Standard"/>
        <w:spacing w:line="360" w:lineRule="auto"/>
        <w:ind w:left="426"/>
        <w:jc w:val="both"/>
        <w:rPr>
          <w:rFonts w:eastAsia="Calibri"/>
          <w:sz w:val="22"/>
          <w:szCs w:val="22"/>
        </w:rPr>
      </w:pPr>
    </w:p>
    <w:p w:rsidR="00BD3E0A" w:rsidRDefault="0003502D">
      <w:pPr>
        <w:pStyle w:val="Standard"/>
        <w:shd w:val="clear" w:color="auto" w:fill="BFBFBF"/>
        <w:tabs>
          <w:tab w:val="left" w:pos="786"/>
        </w:tabs>
        <w:spacing w:after="200" w:line="360" w:lineRule="auto"/>
        <w:ind w:left="426"/>
        <w:jc w:val="both"/>
      </w:pPr>
      <w:r>
        <w:rPr>
          <w:rFonts w:eastAsia="Calibri"/>
          <w:b/>
        </w:rPr>
        <w:t>ІІ. ОБЩА ОЦЕНКА НА ПРОЕКТНОТО ПРЕДЛОЖЕНИЕ</w:t>
      </w:r>
    </w:p>
    <w:p w:rsidR="00BD3E0A" w:rsidRDefault="0003502D">
      <w:pPr>
        <w:pStyle w:val="Standard"/>
        <w:ind w:left="426"/>
        <w:jc w:val="both"/>
      </w:pPr>
      <w:r>
        <w:rPr>
          <w:rFonts w:eastAsia="Calibri"/>
        </w:rPr>
        <w:t>Общата оценка на един проект се определя от средната оценка от всички, включени в проекта дейности /курсове и/или семинари/.</w:t>
      </w:r>
    </w:p>
    <w:p w:rsidR="00BD3E0A" w:rsidRDefault="0003502D">
      <w:pPr>
        <w:pStyle w:val="Standard"/>
        <w:ind w:left="426"/>
        <w:jc w:val="both"/>
      </w:pPr>
      <w:r>
        <w:rPr>
          <w:rFonts w:eastAsia="Calibri"/>
        </w:rPr>
        <w:t>Определя се минимален брой точки, който трябва да бъде постигнат за всеки курс или семинар, за да бъде допустим за подкрепа - 50 точки.</w:t>
      </w:r>
    </w:p>
    <w:p w:rsidR="00BD3E0A" w:rsidRDefault="0003502D">
      <w:pPr>
        <w:pStyle w:val="Standard"/>
        <w:ind w:left="426"/>
        <w:jc w:val="both"/>
      </w:pPr>
      <w:r>
        <w:rPr>
          <w:rFonts w:eastAsia="Calibri"/>
        </w:rPr>
        <w:t>В случаите на проекти само с една дейност /курс или семинар/, полученият брой точки при оценката на тази дейност е равна на общата оценката на съответния проект.</w:t>
      </w:r>
    </w:p>
    <w:p w:rsidR="00BD3E0A" w:rsidRDefault="00BD3E0A">
      <w:pPr>
        <w:pStyle w:val="Standard"/>
        <w:ind w:left="426"/>
        <w:jc w:val="both"/>
        <w:rPr>
          <w:rFonts w:eastAsia="Calibri"/>
        </w:rPr>
      </w:pPr>
    </w:p>
    <w:p w:rsidR="00BD3E0A" w:rsidRDefault="0003502D">
      <w:pPr>
        <w:pStyle w:val="Standard"/>
        <w:shd w:val="clear" w:color="auto" w:fill="BFBFBF"/>
        <w:tabs>
          <w:tab w:val="left" w:pos="786"/>
        </w:tabs>
        <w:spacing w:after="200" w:line="360" w:lineRule="auto"/>
        <w:ind w:left="426"/>
        <w:jc w:val="both"/>
      </w:pPr>
      <w:r>
        <w:rPr>
          <w:rFonts w:eastAsia="Calibri"/>
          <w:b/>
        </w:rPr>
        <w:t>ІІІ. ДРУГИ</w:t>
      </w:r>
    </w:p>
    <w:p w:rsidR="00BD3E0A" w:rsidRDefault="0003502D">
      <w:pPr>
        <w:pStyle w:val="Standard"/>
        <w:ind w:left="426"/>
        <w:jc w:val="both"/>
      </w:pPr>
      <w:r>
        <w:rPr>
          <w:rFonts w:eastAsia="Calibri"/>
        </w:rPr>
        <w:t>При оценка на проектните предложения ще бъде оценявана представената учебна програма за съответния курс/семинар. Примерни документи за доказване на опит на лекторите – автобиография, диплома за висше образование; и/или документи, доказващи опит /трудова книжка, служебна книжка; и/или документ от работодател за придобития опит  и/или стаж. Примерни документи за доказване на осигурен финансов ресурс: банкови документи, удостоверяващи наличието на финансов ресурс на разположение на обучаващата организация – банкова референция, извлечение от банкова сметка, банкова гаранция или др., извлечение от счетоводната система за налични средства към датата на кандидатстване (за бюджетни организации)</w:t>
      </w:r>
    </w:p>
    <w:p w:rsidR="00BD3E0A" w:rsidRDefault="00BD3E0A">
      <w:pPr>
        <w:pStyle w:val="Standard"/>
        <w:ind w:left="426"/>
        <w:jc w:val="both"/>
      </w:pPr>
    </w:p>
    <w:p w:rsidR="00BD3E0A" w:rsidRDefault="00BD3E0A">
      <w:pPr>
        <w:pStyle w:val="Standard"/>
        <w:ind w:left="426"/>
        <w:jc w:val="both"/>
        <w:rPr>
          <w:b/>
          <w:i/>
        </w:rPr>
      </w:pPr>
    </w:p>
    <w:p w:rsidR="00BD3E0A" w:rsidRDefault="00BD3E0A">
      <w:pPr>
        <w:pStyle w:val="Standard"/>
        <w:spacing w:line="360" w:lineRule="auto"/>
        <w:jc w:val="both"/>
        <w:rPr>
          <w:b/>
        </w:rPr>
      </w:pPr>
    </w:p>
    <w:p w:rsidR="00BD3E0A" w:rsidRDefault="00432D46" w:rsidP="00432D46">
      <w:pPr>
        <w:pStyle w:val="Standard"/>
        <w:shd w:val="clear" w:color="auto" w:fill="BFBFBF"/>
        <w:spacing w:line="360" w:lineRule="auto"/>
        <w:ind w:left="284" w:firstLine="284"/>
        <w:jc w:val="both"/>
      </w:pPr>
      <w:r>
        <w:rPr>
          <w:b/>
        </w:rPr>
        <w:t xml:space="preserve">І. </w:t>
      </w:r>
      <w:r w:rsidR="0003502D">
        <w:rPr>
          <w:b/>
        </w:rPr>
        <w:t>КРИТЕРИИ ЗА ОЦЕНКА НА ПРОЕКТИ – КУРС 150 ЧАСА</w:t>
      </w:r>
    </w:p>
    <w:p w:rsidR="00BD3E0A" w:rsidRDefault="00BD3E0A">
      <w:pPr>
        <w:pStyle w:val="Standard"/>
        <w:spacing w:line="360" w:lineRule="auto"/>
        <w:jc w:val="both"/>
      </w:pPr>
    </w:p>
    <w:p w:rsidR="00BD3E0A" w:rsidRDefault="0003502D" w:rsidP="00432D46">
      <w:pPr>
        <w:pStyle w:val="Standard"/>
        <w:shd w:val="clear" w:color="auto" w:fill="0070C0"/>
        <w:spacing w:line="360" w:lineRule="auto"/>
        <w:ind w:left="284"/>
        <w:jc w:val="both"/>
      </w:pPr>
      <w:r>
        <w:rPr>
          <w:b/>
        </w:rPr>
        <w:t>I.3 Курс за обучение с продължителност 150 часа</w:t>
      </w:r>
    </w:p>
    <w:tbl>
      <w:tblPr>
        <w:tblW w:w="9463" w:type="dxa"/>
        <w:tblInd w:w="426" w:type="dxa"/>
        <w:tblLayout w:type="fixed"/>
        <w:tblCellMar>
          <w:left w:w="10" w:type="dxa"/>
          <w:right w:w="10" w:type="dxa"/>
        </w:tblCellMar>
        <w:tblLook w:val="0000" w:firstRow="0" w:lastRow="0" w:firstColumn="0" w:lastColumn="0" w:noHBand="0" w:noVBand="0"/>
      </w:tblPr>
      <w:tblGrid>
        <w:gridCol w:w="1275"/>
        <w:gridCol w:w="3543"/>
        <w:gridCol w:w="1843"/>
        <w:gridCol w:w="2802"/>
      </w:tblGrid>
      <w:tr w:rsidR="00BD3E0A" w:rsidTr="00432D46">
        <w:trPr>
          <w:trHeight w:val="1335"/>
        </w:trPr>
        <w:tc>
          <w:tcPr>
            <w:tcW w:w="1275" w:type="dxa"/>
            <w:tcBorders>
              <w:top w:val="single" w:sz="4" w:space="0" w:color="00000A"/>
              <w:left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rPr>
              <w:t>Приоритет/Критерии за оценка</w:t>
            </w:r>
          </w:p>
        </w:tc>
        <w:tc>
          <w:tcPr>
            <w:tcW w:w="3543"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rPr>
              <w:t>Курс 1 ……………………………………………………………………………………………………………………… за обучение с продължителност 150 часа</w:t>
            </w:r>
          </w:p>
        </w:tc>
        <w:tc>
          <w:tcPr>
            <w:tcW w:w="1843"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rPr>
              <w:t>Максимален брой точки за Приоритет/Критерий за оценка</w:t>
            </w:r>
          </w:p>
        </w:tc>
        <w:tc>
          <w:tcPr>
            <w:tcW w:w="2802"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rPr>
              <w:t>Съответствие с критериите за оценка</w:t>
            </w:r>
          </w:p>
        </w:tc>
      </w:tr>
      <w:tr w:rsidR="00BD3E0A" w:rsidTr="00432D46">
        <w:trPr>
          <w:trHeight w:val="886"/>
        </w:trPr>
        <w:tc>
          <w:tcPr>
            <w:tcW w:w="1275"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I</w:t>
            </w:r>
          </w:p>
        </w:tc>
        <w:tc>
          <w:tcPr>
            <w:tcW w:w="3543"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rPr>
              <w:t>Оценка на учебната програма в съответствие с приоритетите, посочени в раздел 8.2.1.2;</w:t>
            </w:r>
          </w:p>
        </w:tc>
        <w:tc>
          <w:tcPr>
            <w:tcW w:w="1843"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60</w:t>
            </w:r>
          </w:p>
        </w:tc>
        <w:tc>
          <w:tcPr>
            <w:tcW w:w="2802"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 </w:t>
            </w:r>
          </w:p>
        </w:tc>
      </w:tr>
      <w:tr w:rsidR="00BD3E0A" w:rsidTr="00432D46">
        <w:trPr>
          <w:trHeight w:val="715"/>
        </w:trPr>
        <w:tc>
          <w:tcPr>
            <w:tcW w:w="127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t>1.1</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rPr>
              <w:t xml:space="preserve">В учебната програма са включени модул/модули с учебни часове по следните теми, насочени към: </w:t>
            </w:r>
            <w:r>
              <w:br/>
              <w:t xml:space="preserve">1. Фокус област 2А) Подобряване на </w:t>
            </w:r>
            <w:r>
              <w:lastRenderedPageBreak/>
              <w:t>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 -</w:t>
            </w:r>
            <w:r>
              <w:rPr>
                <w:b/>
                <w:bCs/>
              </w:rPr>
              <w:t xml:space="preserve"> 12 т.</w:t>
            </w:r>
            <w:r>
              <w:t>;</w:t>
            </w:r>
            <w:r>
              <w:br/>
              <w:t xml:space="preserve">2. Фокус област 2Б) Улесняване на навлизането на земеделски стопани с подходяща квалификация в селскостопанския сектор, и по-специално приемствеността между поколенията - </w:t>
            </w:r>
            <w:r>
              <w:rPr>
                <w:b/>
                <w:bCs/>
              </w:rPr>
              <w:t>12 т</w:t>
            </w:r>
            <w:r>
              <w:t>.</w:t>
            </w:r>
            <w:r>
              <w:br/>
              <w:t xml:space="preserve">3. Фокус област 5А) Повишаване на ефективността при потреблението на вода в селското стопанство - </w:t>
            </w:r>
            <w:r>
              <w:rPr>
                <w:b/>
                <w:bCs/>
              </w:rPr>
              <w:t>12 т.</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lastRenderedPageBreak/>
              <w:t>36</w:t>
            </w:r>
          </w:p>
        </w:tc>
        <w:tc>
          <w:tcPr>
            <w:tcW w:w="280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t xml:space="preserve">Съответствие на модулите от учебната програма с логиката на интервенциите за съответната фокус област съгласно ПРСР </w:t>
            </w:r>
            <w:r>
              <w:lastRenderedPageBreak/>
              <w:t>2014-2020.</w:t>
            </w:r>
          </w:p>
        </w:tc>
      </w:tr>
      <w:tr w:rsidR="00BD3E0A" w:rsidTr="00432D46">
        <w:trPr>
          <w:trHeight w:val="2055"/>
        </w:trPr>
        <w:tc>
          <w:tcPr>
            <w:tcW w:w="127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lastRenderedPageBreak/>
              <w:t>1.2</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rPr>
              <w:t xml:space="preserve">Над 20% от часовете в учебната програма включват тема и  въпроси, свързани със: </w:t>
            </w:r>
            <w:r>
              <w:br/>
              <w:t xml:space="preserve">- смекчаване на последиците от изменението на климата и адаптиране към него; </w:t>
            </w:r>
            <w:r>
              <w:br/>
              <w:t>и/или</w:t>
            </w:r>
            <w:r>
              <w:br/>
              <w:t>- опазване на околната среда;</w:t>
            </w:r>
            <w:r>
              <w:br/>
              <w:t>и/или</w:t>
            </w:r>
            <w:r>
              <w:br/>
              <w:t>- иновации;</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t>12</w:t>
            </w:r>
          </w:p>
        </w:tc>
        <w:tc>
          <w:tcPr>
            <w:tcW w:w="280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t>Брой часове от учебната програма, насочени към посочените теми.</w:t>
            </w:r>
          </w:p>
        </w:tc>
      </w:tr>
      <w:tr w:rsidR="00BD3E0A" w:rsidTr="00432D46">
        <w:trPr>
          <w:trHeight w:val="831"/>
        </w:trPr>
        <w:tc>
          <w:tcPr>
            <w:tcW w:w="127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t>1.3</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rPr>
              <w:t>В курса е предвидено включването на обучаеми, които отговарят на следното условие:</w:t>
            </w:r>
            <w:r>
              <w:br/>
              <w:t>- са малки стопанства, одобрени за подпомагане по мерки от Тематичната подпрограма за малки стопанства по ПРСР 2014-2020;</w:t>
            </w:r>
          </w:p>
          <w:p w:rsidR="00BD3E0A" w:rsidRDefault="0003502D">
            <w:pPr>
              <w:pStyle w:val="Standard"/>
              <w:jc w:val="both"/>
            </w:pPr>
            <w:r>
              <w:t>и/или</w:t>
            </w:r>
            <w:r>
              <w:br/>
              <w:t>- са млади земеделски стопани илиса одобрени за подпомагане по подмярка 6.1 от ПРСР 2014-2020;</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pPr>
            <w:r>
              <w:t>От 10% до 20% от обучаемите отговарят на посоченото условие – 6 точки;</w:t>
            </w:r>
          </w:p>
          <w:p w:rsidR="00BD3E0A" w:rsidRDefault="0003502D">
            <w:pPr>
              <w:pStyle w:val="Standard"/>
            </w:pPr>
            <w:r>
              <w:t>Над 20% от обучаемите отговарят на посоченото условие – 12 точки;</w:t>
            </w:r>
          </w:p>
        </w:tc>
        <w:tc>
          <w:tcPr>
            <w:tcW w:w="280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t>Доказан брой на потенциални участници за включване в обучение;</w:t>
            </w:r>
          </w:p>
          <w:p w:rsidR="00BD3E0A" w:rsidRDefault="00BD3E0A">
            <w:pPr>
              <w:pStyle w:val="Standard"/>
              <w:ind w:left="426"/>
              <w:jc w:val="center"/>
            </w:pPr>
          </w:p>
        </w:tc>
      </w:tr>
      <w:tr w:rsidR="00BD3E0A" w:rsidTr="00432D46">
        <w:trPr>
          <w:trHeight w:val="765"/>
        </w:trPr>
        <w:tc>
          <w:tcPr>
            <w:tcW w:w="1275"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2</w:t>
            </w:r>
          </w:p>
        </w:tc>
        <w:tc>
          <w:tcPr>
            <w:tcW w:w="3543"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rPr>
              <w:t>Оценка на специфичния професионален опит на лекторите, които провеждат обучението;</w:t>
            </w:r>
          </w:p>
        </w:tc>
        <w:tc>
          <w:tcPr>
            <w:tcW w:w="1843"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30</w:t>
            </w:r>
          </w:p>
        </w:tc>
        <w:tc>
          <w:tcPr>
            <w:tcW w:w="2802"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 </w:t>
            </w:r>
          </w:p>
        </w:tc>
      </w:tr>
      <w:tr w:rsidR="00BD3E0A" w:rsidTr="00432D46">
        <w:trPr>
          <w:trHeight w:val="1395"/>
        </w:trPr>
        <w:tc>
          <w:tcPr>
            <w:tcW w:w="127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lastRenderedPageBreak/>
              <w:t>2.1</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темата/модула,по която ще преподава в  курса и над 5 години преподавателски и/или практически опит в областта на темата/модула, по която ще преподава в съответния курс.</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t>30</w:t>
            </w:r>
          </w:p>
        </w:tc>
        <w:tc>
          <w:tcPr>
            <w:tcW w:w="2802"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t>На оценка подлежат представените към проектното предложение документи за лекторите свързани с доказване на съответният опит.</w:t>
            </w:r>
          </w:p>
          <w:p w:rsidR="00BD3E0A" w:rsidRDefault="00BD3E0A">
            <w:pPr>
              <w:pStyle w:val="Standard"/>
              <w:jc w:val="both"/>
            </w:pPr>
          </w:p>
          <w:p w:rsidR="00BD3E0A" w:rsidRDefault="0003502D">
            <w:pPr>
              <w:pStyle w:val="Standard"/>
              <w:jc w:val="both"/>
            </w:pPr>
            <w:r>
              <w:t>При повече от един лектор за посочения курс, точките, определени за опит на всеки лектор се сумират и се разделят на общия брой лектори. Оценката по Приоритет 2 е средно аритметична.</w:t>
            </w:r>
            <w:r>
              <w:br/>
            </w:r>
            <w:r>
              <w:rPr>
                <w:i/>
                <w:iCs/>
              </w:rPr>
              <w:t xml:space="preserve">(Например курс с трима лектори: лектор 1 - 20 т., лектор 2 - 30 т. и лектор 3 - 15 т.  (20+30+15)/3; </w:t>
            </w:r>
            <w:r>
              <w:rPr>
                <w:i/>
                <w:iCs/>
              </w:rPr>
              <w:br/>
              <w:t>Обща оценка по критерия - 21,67)</w:t>
            </w:r>
          </w:p>
        </w:tc>
      </w:tr>
      <w:tr w:rsidR="00BD3E0A" w:rsidTr="00432D46">
        <w:trPr>
          <w:trHeight w:val="1440"/>
        </w:trPr>
        <w:tc>
          <w:tcPr>
            <w:tcW w:w="127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t>2.2</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темата/модула,по която ще преподава в курса и над 3 години преподавателски и/или практически опит в областта на темата/модула, по която ще преподава в съответния курс.</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t>20</w:t>
            </w:r>
          </w:p>
        </w:tc>
        <w:tc>
          <w:tcPr>
            <w:tcW w:w="2802"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1485"/>
        </w:trPr>
        <w:tc>
          <w:tcPr>
            <w:tcW w:w="127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t>2.3</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темата/модула,по която ще преподава в курса и над 2 години преподавателски и/или практически опит в областта на темата/модула, по която ще преподава в съответния курс.</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t>15</w:t>
            </w:r>
          </w:p>
        </w:tc>
        <w:tc>
          <w:tcPr>
            <w:tcW w:w="2802"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1200"/>
        </w:trPr>
        <w:tc>
          <w:tcPr>
            <w:tcW w:w="127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t>2.4</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 по която ще преподава в съответния курс и най – малко 1 година преподавателски и/или практически опит в областта на темата/модула, по която ще преподава в съответния курс.</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t>5</w:t>
            </w:r>
          </w:p>
        </w:tc>
        <w:tc>
          <w:tcPr>
            <w:tcW w:w="2802"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780"/>
        </w:trPr>
        <w:tc>
          <w:tcPr>
            <w:tcW w:w="1275" w:type="dxa"/>
            <w:tcBorders>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ind w:left="426"/>
              <w:jc w:val="center"/>
            </w:pPr>
            <w:r>
              <w:rPr>
                <w:b/>
                <w:bCs/>
              </w:rPr>
              <w:t>III</w:t>
            </w:r>
          </w:p>
        </w:tc>
        <w:tc>
          <w:tcPr>
            <w:tcW w:w="3543" w:type="dxa"/>
            <w:tcBorders>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jc w:val="both"/>
            </w:pPr>
            <w:r>
              <w:rPr>
                <w:b/>
                <w:bCs/>
              </w:rPr>
              <w:t>Оценка на методите и формите на обучение (онагледяване, казуси или практическо обучение)</w:t>
            </w:r>
          </w:p>
        </w:tc>
        <w:tc>
          <w:tcPr>
            <w:tcW w:w="1843" w:type="dxa"/>
            <w:tcBorders>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ind w:left="426"/>
              <w:jc w:val="center"/>
            </w:pPr>
            <w:r>
              <w:rPr>
                <w:b/>
                <w:bCs/>
              </w:rPr>
              <w:t>10</w:t>
            </w:r>
          </w:p>
        </w:tc>
        <w:tc>
          <w:tcPr>
            <w:tcW w:w="2802" w:type="dxa"/>
            <w:tcBorders>
              <w:bottom w:val="single" w:sz="4" w:space="0" w:color="00000A"/>
              <w:right w:val="single" w:sz="4" w:space="0" w:color="00000A"/>
            </w:tcBorders>
            <w:shd w:val="clear" w:color="auto" w:fill="F2F2F2"/>
            <w:tcMar>
              <w:top w:w="0" w:type="dxa"/>
              <w:left w:w="108" w:type="dxa"/>
              <w:bottom w:w="0" w:type="dxa"/>
              <w:right w:w="108" w:type="dxa"/>
            </w:tcMar>
            <w:vAlign w:val="center"/>
          </w:tcPr>
          <w:p w:rsidR="00BD3E0A" w:rsidRDefault="0003502D">
            <w:pPr>
              <w:pStyle w:val="Standard"/>
              <w:ind w:left="426"/>
              <w:jc w:val="center"/>
            </w:pPr>
            <w:r>
              <w:rPr>
                <w:b/>
                <w:bCs/>
              </w:rPr>
              <w:t> </w:t>
            </w:r>
          </w:p>
        </w:tc>
      </w:tr>
      <w:tr w:rsidR="00BD3E0A" w:rsidTr="00432D46">
        <w:trPr>
          <w:trHeight w:val="841"/>
        </w:trPr>
        <w:tc>
          <w:tcPr>
            <w:tcW w:w="127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lastRenderedPageBreak/>
              <w:t>3.1</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rPr>
              <w:t>В учебната програма подробно и обосновано е представена информация за следните компоненти:</w:t>
            </w:r>
            <w:r>
              <w:br/>
              <w:t>- методите на работа за теоретично и практическо обучение и съотношение на практика към теория, в случай, че е приложимо;</w:t>
            </w:r>
            <w:r>
              <w:br/>
              <w:t>- материалната база и съответствието й с целите и модулите на обучението;</w:t>
            </w:r>
            <w:r>
              <w:br/>
              <w:t>- учебни материали и технически средства;</w:t>
            </w:r>
            <w:r>
              <w:br/>
              <w:t>- учебни помагала;</w:t>
            </w:r>
            <w:r>
              <w:br/>
              <w:t>- целевите групи и контрол;</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t>6</w:t>
            </w:r>
          </w:p>
        </w:tc>
        <w:tc>
          <w:tcPr>
            <w:tcW w:w="2802"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BD3E0A">
            <w:pPr>
              <w:pStyle w:val="Standard"/>
              <w:ind w:left="426"/>
              <w:jc w:val="center"/>
            </w:pPr>
          </w:p>
        </w:tc>
      </w:tr>
      <w:tr w:rsidR="00BD3E0A" w:rsidTr="00432D46">
        <w:trPr>
          <w:trHeight w:val="253"/>
        </w:trPr>
        <w:tc>
          <w:tcPr>
            <w:tcW w:w="127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t>3.2</w:t>
            </w:r>
          </w:p>
        </w:tc>
        <w:tc>
          <w:tcPr>
            <w:tcW w:w="35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rPr>
              <w:t>В учебната програма  подробно и обосновано е представена информация само за част от следните компоненти:</w:t>
            </w:r>
          </w:p>
          <w:p w:rsidR="00BD3E0A" w:rsidRDefault="0003502D">
            <w:pPr>
              <w:pStyle w:val="Standard"/>
              <w:jc w:val="both"/>
            </w:pPr>
            <w:r>
              <w:t>- методите на работа за теоретично и практическо обучение и съотношение на практика към теория, в случай, че е приложимо;</w:t>
            </w:r>
          </w:p>
          <w:p w:rsidR="00BD3E0A" w:rsidRDefault="0003502D">
            <w:pPr>
              <w:pStyle w:val="Standard"/>
              <w:jc w:val="both"/>
            </w:pPr>
            <w:r>
              <w:t>- материалната база и съответствието и с целите и модулите на обучението;</w:t>
            </w:r>
          </w:p>
          <w:p w:rsidR="00BD3E0A" w:rsidRDefault="0003502D">
            <w:pPr>
              <w:pStyle w:val="Standard"/>
              <w:jc w:val="both"/>
            </w:pPr>
            <w:r>
              <w:t>- учебни материали и технически средства;</w:t>
            </w:r>
          </w:p>
          <w:p w:rsidR="00BD3E0A" w:rsidRDefault="0003502D">
            <w:pPr>
              <w:pStyle w:val="Standard"/>
              <w:jc w:val="both"/>
            </w:pPr>
            <w:r>
              <w:t>- учебни помагала;</w:t>
            </w:r>
          </w:p>
          <w:p w:rsidR="00BD3E0A" w:rsidRDefault="0003502D">
            <w:pPr>
              <w:pStyle w:val="Standard"/>
              <w:jc w:val="both"/>
            </w:pPr>
            <w:r>
              <w:t>- целевите групи и контрол;</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t>3</w:t>
            </w:r>
          </w:p>
        </w:tc>
        <w:tc>
          <w:tcPr>
            <w:tcW w:w="2802"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1353"/>
        </w:trPr>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rPr>
                <w:b/>
                <w:bCs/>
              </w:rPr>
              <w:t>3.3</w:t>
            </w:r>
          </w:p>
        </w:tc>
        <w:tc>
          <w:tcPr>
            <w:tcW w:w="354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rPr>
              <w:t>Наличие на осигурен финансов ресурс за провеждане на курса, в размер не по - малък от 30% от стойността му.</w:t>
            </w:r>
          </w:p>
        </w:tc>
        <w:tc>
          <w:tcPr>
            <w:tcW w:w="1843"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426"/>
              <w:jc w:val="center"/>
            </w:pPr>
            <w:r>
              <w:t>4</w:t>
            </w:r>
          </w:p>
        </w:tc>
        <w:tc>
          <w:tcPr>
            <w:tcW w:w="2802"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t>Стойността на съответния курс се определя в зависимост от вида му и планирания брой обучаеми.</w:t>
            </w:r>
          </w:p>
        </w:tc>
      </w:tr>
      <w:tr w:rsidR="00BD3E0A" w:rsidTr="00432D46">
        <w:trPr>
          <w:trHeight w:val="300"/>
        </w:trPr>
        <w:tc>
          <w:tcPr>
            <w:tcW w:w="1275"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 </w:t>
            </w:r>
          </w:p>
        </w:tc>
        <w:tc>
          <w:tcPr>
            <w:tcW w:w="3543" w:type="dxa"/>
            <w:tcBorders>
              <w:top w:val="single" w:sz="4" w:space="0" w:color="00000A"/>
              <w:left w:val="single" w:sz="4" w:space="0" w:color="00000A"/>
              <w:bottom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ОБЩ БРОЙ ТОЧКИ</w:t>
            </w:r>
          </w:p>
        </w:tc>
        <w:tc>
          <w:tcPr>
            <w:tcW w:w="1843"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100</w:t>
            </w:r>
          </w:p>
        </w:tc>
        <w:tc>
          <w:tcPr>
            <w:tcW w:w="2802"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426"/>
              <w:jc w:val="center"/>
            </w:pPr>
            <w:r>
              <w:rPr>
                <w:b/>
                <w:bCs/>
              </w:rPr>
              <w:t> </w:t>
            </w:r>
          </w:p>
        </w:tc>
      </w:tr>
    </w:tbl>
    <w:p w:rsidR="00BD3E0A" w:rsidRDefault="00BD3E0A">
      <w:pPr>
        <w:pStyle w:val="Standard"/>
        <w:spacing w:line="360" w:lineRule="auto"/>
        <w:ind w:left="426"/>
        <w:jc w:val="both"/>
      </w:pPr>
    </w:p>
    <w:p w:rsidR="00BD3E0A" w:rsidRDefault="0003502D">
      <w:pPr>
        <w:pStyle w:val="Standard"/>
        <w:shd w:val="clear" w:color="auto" w:fill="BFBFBF"/>
        <w:tabs>
          <w:tab w:val="left" w:pos="786"/>
        </w:tabs>
        <w:spacing w:line="360" w:lineRule="auto"/>
        <w:ind w:left="426"/>
        <w:jc w:val="both"/>
      </w:pPr>
      <w:r>
        <w:rPr>
          <w:b/>
        </w:rPr>
        <w:t>ІІ. ОБЩА ОЦЕНКА НА ПРОЕКТНОТО ПРЕДЛОЖЕНИЕ</w:t>
      </w:r>
    </w:p>
    <w:p w:rsidR="00BD3E0A" w:rsidRDefault="0003502D">
      <w:pPr>
        <w:pStyle w:val="Standard"/>
        <w:ind w:left="426"/>
        <w:jc w:val="both"/>
      </w:pPr>
      <w:r>
        <w:t>Общата оценка на един проект се определя от средната оценка от всички, включени в проекта дейности /курсове и/или семинари/.</w:t>
      </w:r>
    </w:p>
    <w:p w:rsidR="00BD3E0A" w:rsidRDefault="0003502D">
      <w:pPr>
        <w:pStyle w:val="Standard"/>
        <w:ind w:left="426"/>
        <w:jc w:val="both"/>
      </w:pPr>
      <w:r>
        <w:t>Определя се минимален брой точки, който трябва да бъде постигнат за всеки курс или семинар, за да бъде допустим за подкрепа - 50 точки.</w:t>
      </w:r>
    </w:p>
    <w:p w:rsidR="00BD3E0A" w:rsidRDefault="0003502D">
      <w:pPr>
        <w:pStyle w:val="Standard"/>
        <w:ind w:left="426"/>
        <w:jc w:val="both"/>
      </w:pPr>
      <w:r>
        <w:t>В случаите на проекти само с една дейност /курс или семинар/, полученият брой точки при оценката на тази дейност е равна на общата оценката на съответния проект.</w:t>
      </w:r>
    </w:p>
    <w:p w:rsidR="00BD3E0A" w:rsidRDefault="00BD3E0A">
      <w:pPr>
        <w:pStyle w:val="Standard"/>
        <w:ind w:left="426"/>
        <w:jc w:val="both"/>
      </w:pPr>
    </w:p>
    <w:p w:rsidR="00BD3E0A" w:rsidRDefault="0003502D">
      <w:pPr>
        <w:pStyle w:val="Standard"/>
        <w:shd w:val="clear" w:color="auto" w:fill="BFBFBF"/>
        <w:tabs>
          <w:tab w:val="left" w:pos="786"/>
        </w:tabs>
        <w:spacing w:line="360" w:lineRule="auto"/>
        <w:ind w:left="426"/>
        <w:jc w:val="both"/>
      </w:pPr>
      <w:r>
        <w:rPr>
          <w:b/>
        </w:rPr>
        <w:t>ІІІ. ДРУГИ</w:t>
      </w:r>
    </w:p>
    <w:p w:rsidR="00BD3E0A" w:rsidRDefault="0003502D">
      <w:pPr>
        <w:pStyle w:val="Standard"/>
        <w:ind w:left="426"/>
        <w:jc w:val="both"/>
      </w:pPr>
      <w:r>
        <w:t xml:space="preserve">При оценка на проектните предложения ще бъде оценявана представената учебна програма за съответния курс/семинар. Примерни документи за доказване на опит на лекторите – автобиография, диплома за висше образование; и/или документи, доказващи </w:t>
      </w:r>
      <w:r>
        <w:lastRenderedPageBreak/>
        <w:t>опит /трудова книжка, служебна книжка; и/или документ от работодател за придобития опит  и/или стаж. Примерни документи за доказване на осигурен финансов ресурс: банкови документи, удостоверяващи наличието на финансов ресурс на разположение на обучаващата организация – банкова референция, извлечение от банкова сметка, банкова гаранция или др., извлечение от счетоводната система за налични средства към датата на кандидатстване (за бюджетни организации)</w:t>
      </w:r>
    </w:p>
    <w:p w:rsidR="00BD3E0A" w:rsidRDefault="00BD3E0A">
      <w:pPr>
        <w:pStyle w:val="Standard"/>
        <w:ind w:left="426"/>
        <w:jc w:val="both"/>
        <w:rPr>
          <w:b/>
          <w:i/>
        </w:rPr>
      </w:pPr>
    </w:p>
    <w:p w:rsidR="00BD3E0A" w:rsidRDefault="00432D46" w:rsidP="00432D46">
      <w:pPr>
        <w:pStyle w:val="Standard"/>
        <w:shd w:val="clear" w:color="auto" w:fill="BFBFBF"/>
        <w:spacing w:after="200" w:line="360" w:lineRule="auto"/>
        <w:ind w:left="426" w:firstLine="141"/>
        <w:jc w:val="both"/>
      </w:pPr>
      <w:r>
        <w:rPr>
          <w:rFonts w:eastAsia="Calibri"/>
          <w:b/>
        </w:rPr>
        <w:t xml:space="preserve">І. </w:t>
      </w:r>
      <w:r w:rsidR="0003502D">
        <w:rPr>
          <w:rFonts w:eastAsia="Calibri"/>
          <w:b/>
        </w:rPr>
        <w:t>КРИТЕРИИ ЗА ОЦЕНКА НА ПРОЕКТИ – СЕМИНАР 18 ЧАСА</w:t>
      </w:r>
    </w:p>
    <w:p w:rsidR="00BD3E0A" w:rsidRDefault="0003502D" w:rsidP="00432D46">
      <w:pPr>
        <w:pStyle w:val="Standard"/>
        <w:shd w:val="clear" w:color="auto" w:fill="0070C0"/>
        <w:spacing w:line="360" w:lineRule="auto"/>
        <w:ind w:left="426"/>
        <w:jc w:val="both"/>
      </w:pPr>
      <w:r>
        <w:rPr>
          <w:rFonts w:eastAsia="Calibri"/>
          <w:b/>
        </w:rPr>
        <w:t>I.5 Семинар (тематична среща) с продължителност 18 часа</w:t>
      </w:r>
    </w:p>
    <w:tbl>
      <w:tblPr>
        <w:tblW w:w="9322" w:type="dxa"/>
        <w:tblInd w:w="567" w:type="dxa"/>
        <w:tblLayout w:type="fixed"/>
        <w:tblCellMar>
          <w:left w:w="10" w:type="dxa"/>
          <w:right w:w="10" w:type="dxa"/>
        </w:tblCellMar>
        <w:tblLook w:val="0000" w:firstRow="0" w:lastRow="0" w:firstColumn="0" w:lastColumn="0" w:noHBand="0" w:noVBand="0"/>
      </w:tblPr>
      <w:tblGrid>
        <w:gridCol w:w="1378"/>
        <w:gridCol w:w="3644"/>
        <w:gridCol w:w="1614"/>
        <w:gridCol w:w="2686"/>
      </w:tblGrid>
      <w:tr w:rsidR="00BD3E0A" w:rsidTr="00432D46">
        <w:trPr>
          <w:trHeight w:val="1080"/>
        </w:trPr>
        <w:tc>
          <w:tcPr>
            <w:tcW w:w="1378" w:type="dxa"/>
            <w:tcBorders>
              <w:top w:val="single" w:sz="4" w:space="0" w:color="00000A"/>
              <w:left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Приоритет/Критерии за оценка</w:t>
            </w:r>
          </w:p>
        </w:tc>
        <w:tc>
          <w:tcPr>
            <w:tcW w:w="3644"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Семинар 1 (тематична среща) на тема: ………………………………………………………………………………………………………… с продължителност 18 часа</w:t>
            </w:r>
          </w:p>
        </w:tc>
        <w:tc>
          <w:tcPr>
            <w:tcW w:w="1614"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Максимален брой точки за Приоритет/ Критерий за оценка</w:t>
            </w:r>
          </w:p>
        </w:tc>
        <w:tc>
          <w:tcPr>
            <w:tcW w:w="2686" w:type="dxa"/>
            <w:tcBorders>
              <w:top w:val="single" w:sz="4" w:space="0" w:color="00000A"/>
              <w:bottom w:val="single" w:sz="4" w:space="0" w:color="00000A"/>
              <w:right w:val="single" w:sz="4" w:space="0" w:color="00000A"/>
            </w:tcBorders>
            <w:shd w:val="clear" w:color="auto" w:fill="C5D9F1"/>
            <w:tcMar>
              <w:top w:w="0" w:type="dxa"/>
              <w:left w:w="108" w:type="dxa"/>
              <w:bottom w:w="0" w:type="dxa"/>
              <w:right w:w="108" w:type="dxa"/>
            </w:tcMar>
            <w:vAlign w:val="center"/>
          </w:tcPr>
          <w:p w:rsidR="00BD3E0A" w:rsidRDefault="0003502D">
            <w:pPr>
              <w:pStyle w:val="Standard"/>
              <w:jc w:val="center"/>
            </w:pPr>
            <w:r>
              <w:rPr>
                <w:b/>
                <w:bCs/>
                <w:sz w:val="22"/>
                <w:szCs w:val="22"/>
              </w:rPr>
              <w:t>Съответствие с критериите за оценка</w:t>
            </w:r>
          </w:p>
        </w:tc>
      </w:tr>
      <w:tr w:rsidR="00BD3E0A" w:rsidTr="00432D46">
        <w:trPr>
          <w:trHeight w:val="960"/>
        </w:trPr>
        <w:tc>
          <w:tcPr>
            <w:tcW w:w="1378"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I</w:t>
            </w:r>
          </w:p>
        </w:tc>
        <w:tc>
          <w:tcPr>
            <w:tcW w:w="364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sz w:val="22"/>
                <w:szCs w:val="22"/>
              </w:rPr>
              <w:t>Оценка на семинарната програма в съответствие с приоритетите, посочени в раздел 8.2.1.2;</w:t>
            </w:r>
          </w:p>
        </w:tc>
        <w:tc>
          <w:tcPr>
            <w:tcW w:w="161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60</w:t>
            </w:r>
          </w:p>
        </w:tc>
        <w:tc>
          <w:tcPr>
            <w:tcW w:w="2686"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 </w:t>
            </w:r>
          </w:p>
        </w:tc>
      </w:tr>
      <w:tr w:rsidR="00BD3E0A" w:rsidTr="00432D46">
        <w:trPr>
          <w:trHeight w:val="532"/>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t>1.1</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В семинарната програма са включени модул/модули, свързани с изпълнение на предвидените в мярка 10 </w:t>
            </w:r>
            <w:r>
              <w:rPr>
                <w:b/>
                <w:bCs/>
                <w:i/>
                <w:iCs/>
                <w:sz w:val="22"/>
                <w:szCs w:val="22"/>
              </w:rPr>
              <w:t>Агроекология и климат</w:t>
            </w:r>
            <w:r>
              <w:rPr>
                <w:b/>
                <w:bCs/>
                <w:sz w:val="22"/>
                <w:szCs w:val="22"/>
              </w:rPr>
              <w:t xml:space="preserve"> и в мярка 11 </w:t>
            </w:r>
            <w:r>
              <w:rPr>
                <w:b/>
                <w:bCs/>
                <w:i/>
                <w:iCs/>
                <w:sz w:val="22"/>
                <w:szCs w:val="22"/>
              </w:rPr>
              <w:t>Биологично земеделие</w:t>
            </w:r>
            <w:r>
              <w:rPr>
                <w:b/>
                <w:bCs/>
                <w:sz w:val="22"/>
                <w:szCs w:val="22"/>
              </w:rPr>
              <w:t xml:space="preserve">, дейности и приоритетни теми за подмярката, насочени към: </w:t>
            </w:r>
            <w:r>
              <w:rPr>
                <w:sz w:val="22"/>
                <w:szCs w:val="22"/>
              </w:rPr>
              <w:br/>
              <w:t>1. Фокус област 3A)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 -</w:t>
            </w:r>
            <w:r>
              <w:rPr>
                <w:b/>
                <w:bCs/>
                <w:sz w:val="22"/>
                <w:szCs w:val="22"/>
              </w:rPr>
              <w:t xml:space="preserve"> 6 т.</w:t>
            </w:r>
            <w:r>
              <w:rPr>
                <w:sz w:val="22"/>
                <w:szCs w:val="22"/>
              </w:rPr>
              <w:t>;</w:t>
            </w:r>
            <w:r>
              <w:rPr>
                <w:sz w:val="22"/>
                <w:szCs w:val="22"/>
              </w:rPr>
              <w:br/>
              <w:t xml:space="preserve">2. Фокус област 3Б) Подпомагане на превенцията и управлението на риска на стопанствата - </w:t>
            </w:r>
            <w:r>
              <w:rPr>
                <w:b/>
                <w:bCs/>
                <w:sz w:val="22"/>
                <w:szCs w:val="22"/>
              </w:rPr>
              <w:t>6 т</w:t>
            </w:r>
            <w:r>
              <w:rPr>
                <w:sz w:val="22"/>
                <w:szCs w:val="22"/>
              </w:rPr>
              <w:t>.</w:t>
            </w:r>
            <w:r>
              <w:rPr>
                <w:sz w:val="22"/>
                <w:szCs w:val="22"/>
              </w:rPr>
              <w:br/>
              <w:t xml:space="preserve">3. Фокус област 5Б) Повишаване на ефективността при потреблението на енергия в селското стопанство и хранително-вкусовата промишленост - </w:t>
            </w:r>
            <w:r>
              <w:rPr>
                <w:b/>
                <w:bCs/>
                <w:sz w:val="22"/>
                <w:szCs w:val="22"/>
              </w:rPr>
              <w:t>6 т.</w:t>
            </w:r>
            <w:r>
              <w:rPr>
                <w:b/>
                <w:bCs/>
                <w:sz w:val="22"/>
                <w:szCs w:val="22"/>
              </w:rPr>
              <w:br/>
            </w:r>
            <w:r>
              <w:rPr>
                <w:sz w:val="22"/>
                <w:szCs w:val="22"/>
              </w:rPr>
              <w:t xml:space="preserve">4. Фокус област 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 - </w:t>
            </w:r>
            <w:r>
              <w:rPr>
                <w:b/>
                <w:bCs/>
                <w:sz w:val="22"/>
                <w:szCs w:val="22"/>
              </w:rPr>
              <w:t>6 т.</w:t>
            </w:r>
            <w:r>
              <w:rPr>
                <w:sz w:val="22"/>
                <w:szCs w:val="22"/>
              </w:rPr>
              <w:br/>
              <w:t xml:space="preserve">5. Фокус област 5Г) Намаляване на емисиите на парникови газове и амоняк от селското стопанство - </w:t>
            </w:r>
            <w:r>
              <w:rPr>
                <w:b/>
                <w:bCs/>
                <w:sz w:val="22"/>
                <w:szCs w:val="22"/>
              </w:rPr>
              <w:t>6 т.</w:t>
            </w:r>
            <w:r>
              <w:rPr>
                <w:sz w:val="22"/>
                <w:szCs w:val="22"/>
              </w:rPr>
              <w:br/>
              <w:t xml:space="preserve">6. Фокус област 5Д) Стимулиране </w:t>
            </w:r>
            <w:r>
              <w:rPr>
                <w:sz w:val="22"/>
                <w:szCs w:val="22"/>
              </w:rPr>
              <w:lastRenderedPageBreak/>
              <w:t xml:space="preserve">на съхраняването и поглъщането на въглерода в сектора на селското и горското стопанство - </w:t>
            </w:r>
            <w:r>
              <w:rPr>
                <w:b/>
                <w:bCs/>
                <w:sz w:val="22"/>
                <w:szCs w:val="22"/>
              </w:rPr>
              <w:t>6 т.</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sz w:val="22"/>
                <w:szCs w:val="22"/>
              </w:rPr>
              <w:lastRenderedPageBreak/>
              <w:t>36</w:t>
            </w:r>
          </w:p>
        </w:tc>
        <w:tc>
          <w:tcPr>
            <w:tcW w:w="2686"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Съответствие на модулите от учебната програма за семинара с логиката на интервенциите за съответната фокус област, съгласно ПРСР 2014-2020.</w:t>
            </w:r>
          </w:p>
        </w:tc>
      </w:tr>
      <w:tr w:rsidR="00BD3E0A" w:rsidTr="00432D46">
        <w:trPr>
          <w:trHeight w:val="1710"/>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lastRenderedPageBreak/>
              <w:t>1.2</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both"/>
            </w:pPr>
            <w:r>
              <w:rPr>
                <w:b/>
                <w:bCs/>
                <w:sz w:val="22"/>
                <w:szCs w:val="22"/>
              </w:rPr>
              <w:t xml:space="preserve">Над 20% от часовете в семинарната програма включват тема и въпроси, свързани със: </w:t>
            </w:r>
            <w:r>
              <w:rPr>
                <w:sz w:val="22"/>
                <w:szCs w:val="22"/>
              </w:rPr>
              <w:br/>
              <w:t xml:space="preserve">- смекчаване на последиците от изменението на климата и адаптиране към него; </w:t>
            </w:r>
            <w:r>
              <w:rPr>
                <w:sz w:val="22"/>
                <w:szCs w:val="22"/>
              </w:rPr>
              <w:br/>
              <w:t>и/или</w:t>
            </w:r>
            <w:r>
              <w:rPr>
                <w:sz w:val="22"/>
                <w:szCs w:val="22"/>
              </w:rPr>
              <w:br/>
              <w:t>- опазване на околната среда;</w:t>
            </w:r>
            <w:r>
              <w:rPr>
                <w:sz w:val="22"/>
                <w:szCs w:val="22"/>
              </w:rPr>
              <w:br/>
              <w:t>и/или</w:t>
            </w:r>
            <w:r>
              <w:rPr>
                <w:sz w:val="22"/>
                <w:szCs w:val="22"/>
              </w:rPr>
              <w:br/>
              <w:t>- иновации;</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sz w:val="22"/>
                <w:szCs w:val="22"/>
              </w:rPr>
              <w:t>10</w:t>
            </w:r>
          </w:p>
        </w:tc>
        <w:tc>
          <w:tcPr>
            <w:tcW w:w="2686"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Брой часове от учебната програма за семинара, насочени към посочените теми.</w:t>
            </w:r>
          </w:p>
        </w:tc>
      </w:tr>
      <w:tr w:rsidR="00BD3E0A" w:rsidTr="00432D46">
        <w:trPr>
          <w:trHeight w:val="1072"/>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t>1.3</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В семинара е предвидено включването на участници, които отговарят на следното условие: </w:t>
            </w:r>
            <w:r>
              <w:rPr>
                <w:sz w:val="22"/>
                <w:szCs w:val="22"/>
              </w:rPr>
              <w:br/>
              <w:t>- са малки стопанства, одобрени за подпомагане по мерки от Тематичната подпрограма за малки стопанства по ПРСР 2014-2020;</w:t>
            </w:r>
          </w:p>
          <w:p w:rsidR="00BD3E0A" w:rsidRDefault="0003502D">
            <w:pPr>
              <w:pStyle w:val="Standard"/>
              <w:jc w:val="both"/>
            </w:pPr>
            <w:r>
              <w:rPr>
                <w:sz w:val="22"/>
                <w:szCs w:val="22"/>
              </w:rPr>
              <w:t>и/или</w:t>
            </w:r>
            <w:r>
              <w:rPr>
                <w:sz w:val="22"/>
                <w:szCs w:val="22"/>
              </w:rPr>
              <w:br/>
              <w:t>- са млади земеделски стопани или са одобрени за подпомагане по подмярка 6.1 от ПРСР 2014-2020;</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29"/>
              <w:jc w:val="both"/>
            </w:pPr>
            <w:r>
              <w:rPr>
                <w:sz w:val="22"/>
                <w:szCs w:val="22"/>
              </w:rPr>
              <w:t>От 10% до 20% от обучаемите отговарят на посоченото условие – 6 точки;</w:t>
            </w:r>
          </w:p>
          <w:p w:rsidR="00BD3E0A" w:rsidRDefault="0003502D">
            <w:pPr>
              <w:pStyle w:val="Standard"/>
              <w:ind w:left="-29"/>
              <w:jc w:val="both"/>
            </w:pPr>
            <w:r>
              <w:rPr>
                <w:sz w:val="22"/>
                <w:szCs w:val="22"/>
              </w:rPr>
              <w:t>Над 20% от обучаемите отговарят на посоченото условие – 12 точки;</w:t>
            </w:r>
          </w:p>
        </w:tc>
        <w:tc>
          <w:tcPr>
            <w:tcW w:w="2686"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Доказан брой на потенциални участници за включване в семинара;</w:t>
            </w:r>
          </w:p>
          <w:p w:rsidR="00BD3E0A" w:rsidRDefault="00BD3E0A">
            <w:pPr>
              <w:pStyle w:val="Standard"/>
              <w:ind w:left="567"/>
              <w:jc w:val="both"/>
              <w:rPr>
                <w:sz w:val="22"/>
                <w:szCs w:val="22"/>
              </w:rPr>
            </w:pPr>
          </w:p>
        </w:tc>
      </w:tr>
      <w:tr w:rsidR="00BD3E0A" w:rsidTr="00432D46">
        <w:trPr>
          <w:trHeight w:val="2240"/>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t>1.4</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В семинара е предвидено включването на участници, които отговарят на следното условие: </w:t>
            </w:r>
            <w:r>
              <w:rPr>
                <w:sz w:val="22"/>
                <w:szCs w:val="22"/>
              </w:rPr>
              <w:br/>
              <w:t>- са одобрени за подпомагане по мярка 10 и/или мярка 11 от ПРСР 2014-2020;</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BD3E0A">
            <w:pPr>
              <w:pStyle w:val="Standard"/>
              <w:ind w:left="567"/>
              <w:jc w:val="both"/>
              <w:rPr>
                <w:sz w:val="22"/>
                <w:szCs w:val="22"/>
              </w:rPr>
            </w:pPr>
          </w:p>
          <w:p w:rsidR="00BD3E0A" w:rsidRDefault="0003502D">
            <w:pPr>
              <w:pStyle w:val="Standard"/>
              <w:ind w:left="-29"/>
              <w:jc w:val="both"/>
            </w:pPr>
            <w:r>
              <w:rPr>
                <w:sz w:val="22"/>
                <w:szCs w:val="22"/>
              </w:rPr>
              <w:t>Над 10% от обучаемите отговарят на посоченото условие – 2 точки;</w:t>
            </w:r>
          </w:p>
        </w:tc>
        <w:tc>
          <w:tcPr>
            <w:tcW w:w="2686"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Доказан брой на потенциални участници за включване в семинара;</w:t>
            </w:r>
          </w:p>
          <w:p w:rsidR="00BD3E0A" w:rsidRDefault="00BD3E0A">
            <w:pPr>
              <w:pStyle w:val="Standard"/>
              <w:ind w:left="567"/>
              <w:jc w:val="both"/>
              <w:rPr>
                <w:sz w:val="22"/>
                <w:szCs w:val="22"/>
              </w:rPr>
            </w:pPr>
          </w:p>
        </w:tc>
      </w:tr>
      <w:tr w:rsidR="00BD3E0A" w:rsidTr="00432D46">
        <w:trPr>
          <w:trHeight w:val="945"/>
        </w:trPr>
        <w:tc>
          <w:tcPr>
            <w:tcW w:w="1378"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2</w:t>
            </w:r>
          </w:p>
        </w:tc>
        <w:tc>
          <w:tcPr>
            <w:tcW w:w="364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sz w:val="22"/>
                <w:szCs w:val="22"/>
              </w:rPr>
              <w:t>Оценка на специфичния професионален опит на лекторите, които провеждат семинара;</w:t>
            </w:r>
          </w:p>
        </w:tc>
        <w:tc>
          <w:tcPr>
            <w:tcW w:w="161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30</w:t>
            </w:r>
          </w:p>
        </w:tc>
        <w:tc>
          <w:tcPr>
            <w:tcW w:w="2686"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both"/>
            </w:pPr>
            <w:r>
              <w:rPr>
                <w:b/>
                <w:bCs/>
                <w:sz w:val="22"/>
                <w:szCs w:val="22"/>
              </w:rPr>
              <w:t> </w:t>
            </w:r>
          </w:p>
        </w:tc>
      </w:tr>
      <w:tr w:rsidR="00BD3E0A" w:rsidTr="00432D46">
        <w:trPr>
          <w:trHeight w:val="978"/>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t>2.1</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5 години преподавателски и/или практически опит в областта на темата/модула, която ще се дискутира в съответния семинар.</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sz w:val="22"/>
                <w:szCs w:val="22"/>
              </w:rPr>
              <w:t>30</w:t>
            </w:r>
          </w:p>
        </w:tc>
        <w:tc>
          <w:tcPr>
            <w:tcW w:w="2686"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На оценка подлежат представените към проектното предложение документи за лекторите свързани с доказване на съответният опит.</w:t>
            </w:r>
          </w:p>
          <w:p w:rsidR="00BD3E0A" w:rsidRDefault="00BD3E0A">
            <w:pPr>
              <w:pStyle w:val="Standard"/>
              <w:jc w:val="both"/>
              <w:rPr>
                <w:sz w:val="22"/>
                <w:szCs w:val="22"/>
              </w:rPr>
            </w:pPr>
          </w:p>
          <w:p w:rsidR="00BD3E0A" w:rsidRDefault="0003502D">
            <w:pPr>
              <w:pStyle w:val="Standard"/>
              <w:jc w:val="both"/>
            </w:pPr>
            <w:r>
              <w:rPr>
                <w:sz w:val="22"/>
                <w:szCs w:val="22"/>
              </w:rPr>
              <w:t>При повече от един лектор за посочения семинар, точките, определени за опит на всеки лектор се сумират и се разделят на общия брой лектори. Оценката по Приоритет 2 е средно аритметична.</w:t>
            </w:r>
            <w:r>
              <w:rPr>
                <w:sz w:val="22"/>
                <w:szCs w:val="22"/>
              </w:rPr>
              <w:br/>
            </w:r>
            <w:r>
              <w:rPr>
                <w:i/>
                <w:iCs/>
                <w:sz w:val="22"/>
                <w:szCs w:val="22"/>
              </w:rPr>
              <w:t xml:space="preserve">(Например курс с трима лектори: лектор 1 - 20 т., лектор 2 - 30 т. и </w:t>
            </w:r>
            <w:r>
              <w:rPr>
                <w:i/>
                <w:iCs/>
                <w:sz w:val="22"/>
                <w:szCs w:val="22"/>
              </w:rPr>
              <w:lastRenderedPageBreak/>
              <w:t xml:space="preserve">лектор 3 - 15 т.  (20+30+15)/3; </w:t>
            </w:r>
            <w:r>
              <w:rPr>
                <w:i/>
                <w:iCs/>
                <w:sz w:val="22"/>
                <w:szCs w:val="22"/>
              </w:rPr>
              <w:br/>
              <w:t>Обща оценка по критерия - 21,67)</w:t>
            </w:r>
          </w:p>
        </w:tc>
      </w:tr>
      <w:tr w:rsidR="00BD3E0A" w:rsidTr="00432D46">
        <w:trPr>
          <w:trHeight w:val="1275"/>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t>2.2</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3 години преподавателски и/или </w:t>
            </w:r>
            <w:r>
              <w:rPr>
                <w:sz w:val="22"/>
                <w:szCs w:val="22"/>
              </w:rPr>
              <w:lastRenderedPageBreak/>
              <w:t>практически опит в областта на темата/модула, която ще се дискутира в съответния семинар.</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sz w:val="22"/>
                <w:szCs w:val="22"/>
              </w:rPr>
              <w:lastRenderedPageBreak/>
              <w:t>20</w:t>
            </w:r>
          </w:p>
        </w:tc>
        <w:tc>
          <w:tcPr>
            <w:tcW w:w="2686"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1395"/>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lastRenderedPageBreak/>
              <w:t>2.3</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2 години преподавателски и/или практически опит в областта на темата/модула, която ще се дискутира в съответния семинар.</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sz w:val="22"/>
                <w:szCs w:val="22"/>
              </w:rPr>
              <w:t>15</w:t>
            </w:r>
          </w:p>
        </w:tc>
        <w:tc>
          <w:tcPr>
            <w:tcW w:w="2686"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530"/>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t>2.4</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1 година преподавателски и/или практически опит в областта на темата/модула, която ще се дискутира в съответния семинар.</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sz w:val="22"/>
                <w:szCs w:val="22"/>
              </w:rPr>
              <w:t>5</w:t>
            </w:r>
          </w:p>
        </w:tc>
        <w:tc>
          <w:tcPr>
            <w:tcW w:w="2686"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690"/>
        </w:trPr>
        <w:tc>
          <w:tcPr>
            <w:tcW w:w="1378" w:type="dxa"/>
            <w:tcBorders>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III</w:t>
            </w:r>
          </w:p>
        </w:tc>
        <w:tc>
          <w:tcPr>
            <w:tcW w:w="364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jc w:val="both"/>
            </w:pPr>
            <w:r>
              <w:rPr>
                <w:b/>
                <w:bCs/>
                <w:sz w:val="22"/>
                <w:szCs w:val="22"/>
              </w:rPr>
              <w:t>Оценка на методите и формите на представяне на темата на семинара (онагледяване, казуси или практическо обучение)</w:t>
            </w:r>
          </w:p>
        </w:tc>
        <w:tc>
          <w:tcPr>
            <w:tcW w:w="1614"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10</w:t>
            </w:r>
          </w:p>
        </w:tc>
        <w:tc>
          <w:tcPr>
            <w:tcW w:w="2686" w:type="dxa"/>
            <w:tcBorders>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both"/>
            </w:pPr>
            <w:r>
              <w:rPr>
                <w:b/>
                <w:bCs/>
                <w:sz w:val="22"/>
                <w:szCs w:val="22"/>
              </w:rPr>
              <w:t> </w:t>
            </w:r>
          </w:p>
        </w:tc>
      </w:tr>
      <w:tr w:rsidR="00BD3E0A" w:rsidTr="00432D46">
        <w:trPr>
          <w:trHeight w:val="1905"/>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t>3.1</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В програмата подробно и обосновано е представена информация за следните компоненти:</w:t>
            </w:r>
            <w:r>
              <w:rPr>
                <w:sz w:val="22"/>
                <w:szCs w:val="22"/>
              </w:rPr>
              <w:br/>
              <w:t>- методите на представяне;</w:t>
            </w:r>
            <w:r>
              <w:rPr>
                <w:sz w:val="22"/>
                <w:szCs w:val="22"/>
              </w:rPr>
              <w:br/>
              <w:t>- материалната база и съответствието й с целите и модулите на семинара;</w:t>
            </w:r>
            <w:r>
              <w:rPr>
                <w:sz w:val="22"/>
                <w:szCs w:val="22"/>
              </w:rPr>
              <w:br/>
              <w:t>- информационни материали и технически средства;</w:t>
            </w:r>
            <w:r>
              <w:rPr>
                <w:sz w:val="22"/>
                <w:szCs w:val="22"/>
              </w:rPr>
              <w:br/>
              <w:t>- целевите групи и контрол;</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sz w:val="22"/>
                <w:szCs w:val="22"/>
              </w:rPr>
              <w:t>6</w:t>
            </w:r>
          </w:p>
        </w:tc>
        <w:tc>
          <w:tcPr>
            <w:tcW w:w="2686" w:type="dxa"/>
            <w:vMerge w:val="restart"/>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both"/>
            </w:pPr>
            <w:r>
              <w:rPr>
                <w:sz w:val="22"/>
                <w:szCs w:val="22"/>
              </w:rPr>
              <w:t> </w:t>
            </w:r>
          </w:p>
        </w:tc>
      </w:tr>
      <w:tr w:rsidR="00BD3E0A" w:rsidTr="00432D46">
        <w:trPr>
          <w:trHeight w:val="2175"/>
        </w:trPr>
        <w:tc>
          <w:tcPr>
            <w:tcW w:w="137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t>3.2</w:t>
            </w:r>
          </w:p>
        </w:tc>
        <w:tc>
          <w:tcPr>
            <w:tcW w:w="364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 xml:space="preserve">В програмата </w:t>
            </w:r>
            <w:r>
              <w:rPr>
                <w:b/>
                <w:bCs/>
                <w:sz w:val="22"/>
                <w:szCs w:val="22"/>
                <w:u w:val="single"/>
              </w:rPr>
              <w:t xml:space="preserve"> подробно и обосновано е</w:t>
            </w:r>
            <w:r>
              <w:rPr>
                <w:b/>
                <w:bCs/>
                <w:sz w:val="22"/>
                <w:szCs w:val="22"/>
              </w:rPr>
              <w:t xml:space="preserve"> представена информация само за част от следните компоненти:</w:t>
            </w:r>
            <w:r>
              <w:rPr>
                <w:sz w:val="22"/>
                <w:szCs w:val="22"/>
              </w:rPr>
              <w:br/>
              <w:t>- методите на представяне;</w:t>
            </w:r>
            <w:r>
              <w:rPr>
                <w:sz w:val="22"/>
                <w:szCs w:val="22"/>
              </w:rPr>
              <w:br/>
              <w:t>- материалната база и съответствието й с целите и модулите на семинара;</w:t>
            </w:r>
            <w:r>
              <w:rPr>
                <w:sz w:val="22"/>
                <w:szCs w:val="22"/>
              </w:rPr>
              <w:br/>
              <w:t>- информационни материали и технически средства;</w:t>
            </w:r>
            <w:r>
              <w:rPr>
                <w:sz w:val="22"/>
                <w:szCs w:val="22"/>
              </w:rPr>
              <w:br/>
              <w:t>- целевите групи и контрол;</w:t>
            </w:r>
          </w:p>
        </w:tc>
        <w:tc>
          <w:tcPr>
            <w:tcW w:w="1614"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sz w:val="22"/>
                <w:szCs w:val="22"/>
              </w:rPr>
              <w:t>3</w:t>
            </w:r>
          </w:p>
        </w:tc>
        <w:tc>
          <w:tcPr>
            <w:tcW w:w="2686" w:type="dxa"/>
            <w:vMerge/>
            <w:tcBorders>
              <w:left w:val="single" w:sz="4" w:space="0" w:color="00000A"/>
              <w:bottom w:val="single" w:sz="4" w:space="0" w:color="000001"/>
              <w:right w:val="single" w:sz="4" w:space="0" w:color="00000A"/>
            </w:tcBorders>
            <w:shd w:val="clear" w:color="auto" w:fill="FFFFFF"/>
            <w:tcMar>
              <w:top w:w="0" w:type="dxa"/>
              <w:left w:w="108" w:type="dxa"/>
              <w:bottom w:w="0" w:type="dxa"/>
              <w:right w:w="108" w:type="dxa"/>
            </w:tcMar>
            <w:vAlign w:val="center"/>
          </w:tcPr>
          <w:p w:rsidR="0003502D" w:rsidRDefault="0003502D"/>
        </w:tc>
      </w:tr>
      <w:tr w:rsidR="00BD3E0A" w:rsidTr="00432D46">
        <w:trPr>
          <w:trHeight w:val="712"/>
        </w:trPr>
        <w:tc>
          <w:tcPr>
            <w:tcW w:w="13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b/>
                <w:bCs/>
                <w:sz w:val="22"/>
                <w:szCs w:val="22"/>
              </w:rPr>
              <w:t>3.3</w:t>
            </w:r>
          </w:p>
        </w:tc>
        <w:tc>
          <w:tcPr>
            <w:tcW w:w="3644"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b/>
                <w:bCs/>
                <w:sz w:val="22"/>
                <w:szCs w:val="22"/>
              </w:rPr>
              <w:t>Наличие на осигурен финансов ресурс за провеждане на курса/семинара, в размер не по - малък от 30% от стойността му.</w:t>
            </w:r>
          </w:p>
        </w:tc>
        <w:tc>
          <w:tcPr>
            <w:tcW w:w="1614"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ind w:left="567"/>
              <w:jc w:val="center"/>
            </w:pPr>
            <w:r>
              <w:rPr>
                <w:sz w:val="22"/>
                <w:szCs w:val="22"/>
              </w:rPr>
              <w:t>4</w:t>
            </w:r>
          </w:p>
        </w:tc>
        <w:tc>
          <w:tcPr>
            <w:tcW w:w="2686"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BD3E0A" w:rsidRDefault="0003502D">
            <w:pPr>
              <w:pStyle w:val="Standard"/>
              <w:jc w:val="both"/>
            </w:pPr>
            <w:r>
              <w:rPr>
                <w:sz w:val="22"/>
                <w:szCs w:val="22"/>
              </w:rPr>
              <w:t>Стойността на съответния курс/семинар се определя в зависимост от вида му и планирания брой обучаеми.</w:t>
            </w:r>
          </w:p>
        </w:tc>
      </w:tr>
      <w:tr w:rsidR="00BD3E0A" w:rsidTr="00432D46">
        <w:trPr>
          <w:trHeight w:val="300"/>
        </w:trPr>
        <w:tc>
          <w:tcPr>
            <w:tcW w:w="1378"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 </w:t>
            </w:r>
          </w:p>
        </w:tc>
        <w:tc>
          <w:tcPr>
            <w:tcW w:w="3644"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ОБЩ БРОЙ ТОЧКИ</w:t>
            </w:r>
          </w:p>
        </w:tc>
        <w:tc>
          <w:tcPr>
            <w:tcW w:w="1614"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100</w:t>
            </w:r>
          </w:p>
        </w:tc>
        <w:tc>
          <w:tcPr>
            <w:tcW w:w="2686"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rsidR="00BD3E0A" w:rsidRDefault="0003502D">
            <w:pPr>
              <w:pStyle w:val="Standard"/>
              <w:ind w:left="567"/>
              <w:jc w:val="center"/>
            </w:pPr>
            <w:r>
              <w:rPr>
                <w:b/>
                <w:bCs/>
                <w:sz w:val="22"/>
                <w:szCs w:val="22"/>
              </w:rPr>
              <w:t> </w:t>
            </w:r>
          </w:p>
        </w:tc>
      </w:tr>
    </w:tbl>
    <w:p w:rsidR="00BD3E0A" w:rsidRDefault="00BD3E0A">
      <w:pPr>
        <w:pStyle w:val="Standard"/>
        <w:shd w:val="clear" w:color="auto" w:fill="FFFFFF"/>
        <w:tabs>
          <w:tab w:val="left" w:pos="927"/>
        </w:tabs>
        <w:spacing w:line="360" w:lineRule="auto"/>
        <w:ind w:left="567"/>
        <w:jc w:val="both"/>
        <w:rPr>
          <w:rFonts w:eastAsia="Calibri"/>
          <w:b/>
        </w:rPr>
      </w:pPr>
    </w:p>
    <w:p w:rsidR="00BD3E0A" w:rsidRDefault="0003502D">
      <w:pPr>
        <w:pStyle w:val="Standard"/>
        <w:shd w:val="clear" w:color="auto" w:fill="BFBFBF"/>
        <w:tabs>
          <w:tab w:val="left" w:pos="786"/>
        </w:tabs>
        <w:spacing w:after="200" w:line="360" w:lineRule="auto"/>
        <w:ind w:left="426"/>
        <w:jc w:val="both"/>
      </w:pPr>
      <w:r>
        <w:rPr>
          <w:rFonts w:eastAsia="Calibri"/>
          <w:b/>
        </w:rPr>
        <w:lastRenderedPageBreak/>
        <w:t>ІІ. ОБЩА ОЦЕНКА НА ПРОЕКТНОТО ПРЕДЛОЖЕНИЕ</w:t>
      </w:r>
    </w:p>
    <w:p w:rsidR="00BD3E0A" w:rsidRDefault="0003502D">
      <w:pPr>
        <w:pStyle w:val="Standard"/>
        <w:ind w:left="567"/>
        <w:jc w:val="both"/>
      </w:pPr>
      <w:r>
        <w:rPr>
          <w:rFonts w:eastAsia="Calibri"/>
        </w:rPr>
        <w:t>Общата оценка на един проект се определя от средната оценка от всички, включени в проекта дейности /курсове и/или семинари/.</w:t>
      </w:r>
    </w:p>
    <w:p w:rsidR="00BD3E0A" w:rsidRDefault="0003502D">
      <w:pPr>
        <w:pStyle w:val="Standard"/>
        <w:ind w:left="567"/>
        <w:jc w:val="both"/>
      </w:pPr>
      <w:r>
        <w:rPr>
          <w:rFonts w:eastAsia="Calibri"/>
        </w:rPr>
        <w:t>Определя се минимален брой точки, който трябва да бъде постигнат за всеки курс или семинар, за да бъде допустим за подкрепа - 50 точки.</w:t>
      </w:r>
    </w:p>
    <w:p w:rsidR="00BD3E0A" w:rsidRDefault="0003502D">
      <w:pPr>
        <w:pStyle w:val="Standard"/>
        <w:ind w:left="567"/>
        <w:jc w:val="both"/>
      </w:pPr>
      <w:r>
        <w:rPr>
          <w:rFonts w:eastAsia="Calibri"/>
        </w:rPr>
        <w:t>В случаите на проекти само с една дейност /курс или семинар/, полученият брой точки при оценката на тази дейност е равна на общата оценката на съответния проект.</w:t>
      </w:r>
    </w:p>
    <w:p w:rsidR="00BD3E0A" w:rsidRDefault="00BD3E0A">
      <w:pPr>
        <w:pStyle w:val="Standard"/>
        <w:ind w:left="567"/>
        <w:jc w:val="both"/>
        <w:rPr>
          <w:rFonts w:eastAsia="Calibri"/>
        </w:rPr>
      </w:pPr>
    </w:p>
    <w:p w:rsidR="00BD3E0A" w:rsidRDefault="0003502D">
      <w:pPr>
        <w:pStyle w:val="Standard"/>
        <w:shd w:val="clear" w:color="auto" w:fill="BFBFBF"/>
        <w:tabs>
          <w:tab w:val="left" w:pos="786"/>
        </w:tabs>
        <w:spacing w:after="200" w:line="360" w:lineRule="auto"/>
        <w:ind w:left="426"/>
        <w:jc w:val="both"/>
      </w:pPr>
      <w:r>
        <w:rPr>
          <w:rFonts w:eastAsia="Calibri"/>
          <w:b/>
        </w:rPr>
        <w:t>ІІІ. ДРУГИ</w:t>
      </w:r>
    </w:p>
    <w:p w:rsidR="00BD3E0A" w:rsidRDefault="0003502D" w:rsidP="00343AA9">
      <w:pPr>
        <w:pStyle w:val="Standard"/>
        <w:ind w:left="567"/>
        <w:jc w:val="both"/>
        <w:rPr>
          <w:rFonts w:eastAsia="Calibri"/>
        </w:rPr>
      </w:pPr>
      <w:r>
        <w:rPr>
          <w:rFonts w:eastAsia="Calibri"/>
        </w:rPr>
        <w:t>При оценка на проектните предложения ще бъде оценявана представената Учебна програма за съответния курс/семинар. Примерни документи за доказване на опит на лекторите – Автобиография, диплома за висше образование; и/или документи, доказващи опит /трудова книжка, служебна книжка; и/или документ от работодател за придобития опит  и/или стаж. Примерни документи за доказване на осигурен финансов ресурс: Банкови документи, удостоверяващи наличието на финансов ресурс на разположение на обучаващата организация – банкова референция, извлечение от банкова сметка, банкова гаранция или др., извлечение от счетоводната система за налични средства към датата на кандидатстване (за бюджетни организации)</w:t>
      </w:r>
      <w:r w:rsidR="007A66E9">
        <w:rPr>
          <w:rFonts w:eastAsia="Calibri"/>
        </w:rPr>
        <w:t>.</w:t>
      </w:r>
    </w:p>
    <w:p w:rsidR="007A66E9" w:rsidRDefault="007A66E9" w:rsidP="00343AA9">
      <w:pPr>
        <w:pStyle w:val="Standard"/>
        <w:ind w:left="567"/>
        <w:jc w:val="both"/>
        <w:sectPr w:rsidR="007A66E9">
          <w:footerReference w:type="even" r:id="rId24"/>
          <w:footerReference w:type="default" r:id="rId25"/>
          <w:headerReference w:type="first" r:id="rId26"/>
          <w:footerReference w:type="first" r:id="rId27"/>
          <w:pgSz w:w="11906" w:h="16838"/>
          <w:pgMar w:top="425" w:right="1276" w:bottom="340" w:left="851" w:header="0" w:footer="283" w:gutter="0"/>
          <w:cols w:space="720"/>
          <w:titlePg/>
        </w:sectPr>
      </w:pPr>
    </w:p>
    <w:p w:rsidR="007A66E9" w:rsidRPr="007A66E9" w:rsidRDefault="007A66E9" w:rsidP="007A66E9">
      <w:pPr>
        <w:widowControl/>
        <w:spacing w:after="0" w:line="240" w:lineRule="auto"/>
        <w:jc w:val="center"/>
        <w:rPr>
          <w:rFonts w:ascii="Times New Roman" w:eastAsia="Times New Roman" w:hAnsi="Times New Roman" w:cs="Times New Roman"/>
          <w:b/>
          <w:lang w:eastAsia="bg-BG"/>
        </w:rPr>
      </w:pPr>
    </w:p>
    <w:p w:rsidR="007A66E9" w:rsidRPr="007A66E9" w:rsidRDefault="007A66E9" w:rsidP="007A66E9">
      <w:pPr>
        <w:widowControl/>
        <w:spacing w:after="0" w:line="240" w:lineRule="auto"/>
        <w:jc w:val="right"/>
        <w:rPr>
          <w:rFonts w:ascii="Times New Roman" w:eastAsia="Times New Roman" w:hAnsi="Times New Roman" w:cs="Times New Roman"/>
          <w:b/>
          <w:i/>
          <w:lang w:eastAsia="bg-BG"/>
        </w:rPr>
      </w:pPr>
      <w:r w:rsidRPr="007A66E9">
        <w:rPr>
          <w:rFonts w:ascii="Times New Roman" w:eastAsia="Times New Roman" w:hAnsi="Times New Roman" w:cs="Times New Roman"/>
          <w:b/>
          <w:i/>
          <w:lang w:eastAsia="bg-BG"/>
        </w:rPr>
        <w:t>Приложение № 10</w:t>
      </w:r>
    </w:p>
    <w:p w:rsidR="007A66E9" w:rsidRPr="007A66E9" w:rsidRDefault="007A66E9" w:rsidP="007A66E9">
      <w:pPr>
        <w:widowControl/>
        <w:spacing w:after="0" w:line="240" w:lineRule="auto"/>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lang w:eastAsia="bg-BG"/>
        </w:rPr>
        <w:t>ИНДИКАТИВНА ГОДИШНА РАБОТНА ПРОГРАМА НА</w:t>
      </w:r>
    </w:p>
    <w:p w:rsidR="007A66E9" w:rsidRPr="007A66E9" w:rsidRDefault="007A66E9" w:rsidP="007A66E9">
      <w:pPr>
        <w:widowControl/>
        <w:spacing w:after="0" w:line="240" w:lineRule="auto"/>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lang w:eastAsia="bg-BG"/>
        </w:rPr>
        <w:t>ПРОГРАМА ЗА РАЗВИТИЕ НА СЕЛСКИТЕ РАЙОНИ ЗА ПЕРИОДА 2014-2020 Г.</w:t>
      </w:r>
    </w:p>
    <w:p w:rsidR="007A66E9" w:rsidRPr="007A66E9" w:rsidRDefault="007A66E9" w:rsidP="007A66E9">
      <w:pPr>
        <w:widowControl/>
        <w:spacing w:after="0" w:line="240" w:lineRule="auto"/>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lang w:eastAsia="bg-BG"/>
        </w:rPr>
        <w:t>ЗА 201</w:t>
      </w:r>
      <w:r w:rsidRPr="007A66E9">
        <w:rPr>
          <w:rFonts w:ascii="Times New Roman" w:eastAsia="Times New Roman" w:hAnsi="Times New Roman" w:cs="Times New Roman"/>
          <w:b/>
          <w:lang w:val="en-GB" w:eastAsia="bg-BG"/>
        </w:rPr>
        <w:t>9</w:t>
      </w:r>
      <w:r w:rsidRPr="007A66E9">
        <w:rPr>
          <w:rFonts w:ascii="Times New Roman" w:eastAsia="Times New Roman" w:hAnsi="Times New Roman" w:cs="Times New Roman"/>
          <w:b/>
          <w:lang w:eastAsia="bg-BG"/>
        </w:rPr>
        <w:t xml:space="preserve"> ГОДИНА</w:t>
      </w:r>
    </w:p>
    <w:p w:rsidR="007A66E9" w:rsidRPr="007A66E9" w:rsidRDefault="007A66E9" w:rsidP="007A66E9">
      <w:pPr>
        <w:widowControl/>
        <w:spacing w:after="0" w:line="240" w:lineRule="auto"/>
        <w:jc w:val="center"/>
        <w:rPr>
          <w:rFonts w:ascii="Times New Roman" w:eastAsia="Times New Roman" w:hAnsi="Times New Roman" w:cs="Times New Roman"/>
          <w:b/>
          <w:lang w:eastAsia="bg-BG"/>
        </w:rPr>
      </w:pPr>
    </w:p>
    <w:tbl>
      <w:tblPr>
        <w:tblW w:w="15588" w:type="dxa"/>
        <w:tblInd w:w="-851" w:type="dxa"/>
        <w:tblLayout w:type="fixed"/>
        <w:tblCellMar>
          <w:left w:w="10" w:type="dxa"/>
          <w:right w:w="10" w:type="dxa"/>
        </w:tblCellMar>
        <w:tblLook w:val="0000" w:firstRow="0" w:lastRow="0" w:firstColumn="0" w:lastColumn="0" w:noHBand="0" w:noVBand="0"/>
      </w:tblPr>
      <w:tblGrid>
        <w:gridCol w:w="420"/>
        <w:gridCol w:w="1277"/>
        <w:gridCol w:w="1559"/>
        <w:gridCol w:w="992"/>
        <w:gridCol w:w="680"/>
        <w:gridCol w:w="851"/>
        <w:gridCol w:w="2126"/>
        <w:gridCol w:w="1701"/>
        <w:gridCol w:w="2693"/>
        <w:gridCol w:w="567"/>
        <w:gridCol w:w="569"/>
        <w:gridCol w:w="583"/>
        <w:gridCol w:w="486"/>
        <w:gridCol w:w="485"/>
        <w:gridCol w:w="599"/>
      </w:tblGrid>
      <w:tr w:rsidR="007A66E9" w:rsidRPr="007A66E9" w:rsidTr="00A54518">
        <w:trPr>
          <w:trHeight w:val="20"/>
          <w:tblHeader/>
        </w:trPr>
        <w:tc>
          <w:tcPr>
            <w:tcW w:w="420"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№по ред</w:t>
            </w:r>
          </w:p>
        </w:tc>
        <w:tc>
          <w:tcPr>
            <w:tcW w:w="1277"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Наименование на  процедурата</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Цели на предоставяната БФП по процедурата</w:t>
            </w:r>
          </w:p>
        </w:tc>
        <w:tc>
          <w:tcPr>
            <w:tcW w:w="992"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Начин на провеждане на процедурата съгласно чл. 2 от ПМС № 162 от 2016 г.</w:t>
            </w:r>
          </w:p>
        </w:tc>
        <w:tc>
          <w:tcPr>
            <w:tcW w:w="680"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Извършване на предварителен подбор на концепции за проектни предложения</w:t>
            </w: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Общ размер на БФП  по процедурата (в лв.)</w:t>
            </w:r>
          </w:p>
        </w:tc>
        <w:tc>
          <w:tcPr>
            <w:tcW w:w="2126"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Допустими кандидати</w:t>
            </w:r>
          </w:p>
        </w:tc>
        <w:tc>
          <w:tcPr>
            <w:tcW w:w="170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Примерни допустими дейности</w:t>
            </w:r>
          </w:p>
        </w:tc>
        <w:tc>
          <w:tcPr>
            <w:tcW w:w="2693"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Категории допустими разходи</w:t>
            </w:r>
          </w:p>
        </w:tc>
        <w:tc>
          <w:tcPr>
            <w:tcW w:w="567"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Максимален % на съ-финансиране</w:t>
            </w:r>
          </w:p>
        </w:tc>
        <w:tc>
          <w:tcPr>
            <w:tcW w:w="569"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tabs>
                <w:tab w:val="left" w:pos="493"/>
                <w:tab w:val="center" w:pos="4428"/>
                <w:tab w:val="right" w:pos="8964"/>
              </w:tabs>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Дата на обявяване на процедурата</w:t>
            </w:r>
          </w:p>
        </w:tc>
        <w:tc>
          <w:tcPr>
            <w:tcW w:w="583"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Краен срок за подаване на проектни предложения</w:t>
            </w:r>
          </w:p>
        </w:tc>
        <w:tc>
          <w:tcPr>
            <w:tcW w:w="971" w:type="dxa"/>
            <w:gridSpan w:val="2"/>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Представлява ли процедурата/част от нея:</w:t>
            </w:r>
          </w:p>
        </w:tc>
        <w:tc>
          <w:tcPr>
            <w:tcW w:w="59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Размер на БФП за проект (в лв.)</w:t>
            </w:r>
          </w:p>
        </w:tc>
      </w:tr>
      <w:tr w:rsidR="007A66E9" w:rsidRPr="007A66E9" w:rsidTr="00A54518">
        <w:trPr>
          <w:trHeight w:val="20"/>
          <w:tblHeader/>
        </w:trPr>
        <w:tc>
          <w:tcPr>
            <w:tcW w:w="42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127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155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992"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68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8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2126"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170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2693"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56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56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583"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tc>
        <w:tc>
          <w:tcPr>
            <w:tcW w:w="48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държавна помощ</w:t>
            </w:r>
          </w:p>
        </w:tc>
        <w:tc>
          <w:tcPr>
            <w:tcW w:w="48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минимална помощ</w:t>
            </w:r>
          </w:p>
        </w:tc>
        <w:tc>
          <w:tcPr>
            <w:tcW w:w="59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минимален</w:t>
            </w:r>
          </w:p>
        </w:tc>
      </w:tr>
      <w:tr w:rsidR="007A66E9" w:rsidRPr="007A66E9" w:rsidTr="00A54518">
        <w:trPr>
          <w:trHeight w:val="274"/>
        </w:trPr>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Подмярка 1.1 „Професионално обучение и придобиване на умения“</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Подпомагане на организирането и провеждането на курсове за обучение и семинари в областта на селското стопанство и горското стопанство</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Подбор на проектни предложения</w:t>
            </w:r>
          </w:p>
        </w:tc>
        <w:tc>
          <w:tcPr>
            <w:tcW w:w="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До левовата равностойност на 8 000 000 евро</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Организациите, които предоставят трансфер на знания чрез курсове за обучение и семинари;</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Висши училища, професионални гимназии, центрове за професионално обучение;</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Научни институти или опитни станции в областта на селското стопанство или горите -  за организиране само на семинари</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Курсове за обучение; семинари</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Стандартни разходи с размер на сумата  по дейности в зависимост от вида и продължителността на съответния курс за обучение или семинар.</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До 100%</w:t>
            </w:r>
          </w:p>
        </w:tc>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Май 2019 г.</w:t>
            </w:r>
          </w:p>
        </w:tc>
        <w:tc>
          <w:tcPr>
            <w:tcW w:w="5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Юни 2019 г.</w:t>
            </w:r>
          </w:p>
        </w:tc>
        <w:tc>
          <w:tcPr>
            <w:tcW w:w="4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85"/>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4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85"/>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5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85"/>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Непр.</w:t>
            </w:r>
          </w:p>
        </w:tc>
      </w:tr>
      <w:tr w:rsidR="007A66E9" w:rsidRPr="007A66E9" w:rsidTr="00A54518">
        <w:trPr>
          <w:trHeight w:val="4581"/>
        </w:trPr>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2</w:t>
            </w:r>
          </w:p>
        </w:tc>
        <w:tc>
          <w:tcPr>
            <w:tcW w:w="12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Подмярка 4.3 „Инвестиции в инфраструктура“</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Възстановяването на инфраструктурата за напояване чрез реконструкция и модернизацията ѝ в съответствие с идентифицираните нужди.</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Подбор на проектни предложения</w:t>
            </w:r>
          </w:p>
        </w:tc>
        <w:tc>
          <w:tcPr>
            <w:tcW w:w="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До левовата равностойност на 50 465 860 евро</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bCs/>
                <w:sz w:val="24"/>
                <w:szCs w:val="24"/>
                <w:lang w:eastAsia="bg-BG"/>
              </w:rPr>
              <w:t>**</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Инвестиции извън земеделските стопанства, включващи:</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•Инвестиции за намаляване загубите на вода, свързани с реконструкция/рехабилитация на съоръжения, модернизация и механизация на оборудване, включително и съоръжения за съхранение на вода за напояване в съществуващи мрежи извън стопанствата;</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•Инвестиции в машини и съоръжения за напояване, включително и такива, пряко свързани с подобряване на енергийната ефективност и опазване на околната среда;</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Материални инвестиции:</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1. Реконструкция/ рехабилитация на сгради и друга недвижима собственост, използвана за дейността, включително такава, използвана за опазване на околната среда.</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2. Закупуване и/или инсталиране на нови машини, съоръжения и оборудване, необходими за подобряване на дейността, включително свързани с опазване на околната среда и подобряване на енергийната ефективност.</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Нематериални инвестиции:</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1. Общи разходи, свързани със съответния проект за предпроектни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 Общите разходи по проекта не могат да надхвърлят 12 % от общия размер на допустимите инвестиции по проекта. /Съгласно Раздел 8.1/.</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2. Разходи за ноу-хау, придобиване на патентни права и лицензи, и процеси, необходими за изготвяне и изпълнение на проекта;</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3. Закупуване на софтуер, пряко свързан с дейността;</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4. Разходите, свързани с въвеждане на системи за управление на качеството, подготовка за сертификация;</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w:t>
            </w:r>
          </w:p>
        </w:tc>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Май 2019 г.</w:t>
            </w:r>
          </w:p>
        </w:tc>
        <w:tc>
          <w:tcPr>
            <w:tcW w:w="5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Юли 2019 г.</w:t>
            </w:r>
          </w:p>
        </w:tc>
        <w:tc>
          <w:tcPr>
            <w:tcW w:w="4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85"/>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w:t>
            </w:r>
          </w:p>
        </w:tc>
        <w:tc>
          <w:tcPr>
            <w:tcW w:w="4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85"/>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w:t>
            </w:r>
          </w:p>
        </w:tc>
        <w:tc>
          <w:tcPr>
            <w:tcW w:w="5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w:t>
            </w:r>
          </w:p>
        </w:tc>
      </w:tr>
      <w:tr w:rsidR="007A66E9" w:rsidRPr="007A66E9" w:rsidTr="00A54518">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3</w:t>
            </w:r>
          </w:p>
        </w:tc>
        <w:tc>
          <w:tcPr>
            <w:tcW w:w="12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Подмярка 6.3 "Стартова помощ за развитието на малки стопанства“ (ТПП)</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Икономическо развитие и укрепване на малките земеделски стопанства в устойчиви и жизнеспособни единици</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Подбор на проектни предложения</w:t>
            </w:r>
          </w:p>
        </w:tc>
        <w:tc>
          <w:tcPr>
            <w:tcW w:w="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До левовата равностойност на 22 000 000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Земеделски стопанства – физически лица,еднолични търговци, ЕООД</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Дейности за развитие на малки земеделски стопанства</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за развитие на малки земеделски стопанства, посочени в бизнес план</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Непр.</w:t>
            </w:r>
          </w:p>
        </w:tc>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Май 2019 г.</w:t>
            </w:r>
          </w:p>
        </w:tc>
        <w:tc>
          <w:tcPr>
            <w:tcW w:w="5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Юни 2019 г.</w:t>
            </w:r>
          </w:p>
        </w:tc>
        <w:tc>
          <w:tcPr>
            <w:tcW w:w="4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85"/>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4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85"/>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5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85"/>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Непр.</w:t>
            </w:r>
          </w:p>
        </w:tc>
      </w:tr>
      <w:tr w:rsidR="007A66E9" w:rsidRPr="007A66E9" w:rsidTr="00A54518">
        <w:trPr>
          <w:trHeight w:val="56"/>
        </w:trPr>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4</w:t>
            </w:r>
          </w:p>
        </w:tc>
        <w:tc>
          <w:tcPr>
            <w:tcW w:w="12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Подмярка 7.6 „Проучвания и инвестиции, свързани с поддържане, възстановяване и на културното и природното наследство на селата“</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Запазване на духовния и културния живот на населението в селските райони; запазване на културната идентичност и традиции в селските райони и да се повиши качеството на живот на хората, живеещи в тях</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Подбор на проектнипредложе-ния</w:t>
            </w:r>
          </w:p>
        </w:tc>
        <w:tc>
          <w:tcPr>
            <w:tcW w:w="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До левовата равностойност на 12 112 401 евро - в зависимост от остатъчния бюджет след сключване на договори за финансова помощ от първия проведен прием на заявления за подпомагане през 2016 г.</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Местни поделения на вероизповеданията</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Дейности за възстановяване, реставрация, ремонт и/или реконструкция на сгради с религиозно значение, в това число и дейности по вертикалната планировка и подобряване на прилежащите пространства</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Подобрения на недвижимо имущество;</w:t>
            </w:r>
          </w:p>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Закупуване или вземане на лизинг на нови машини и оборудване, обзавеждане до пазарната цена на актива;Нематериални инвестиции;</w:t>
            </w:r>
          </w:p>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Общи разходи, свързани с изброените по-горе, например хонорари на архитекти, инженери и консултанти, хонорари, свързани с консултации относно екологичната и икономическата устойчивост</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75-100%</w:t>
            </w:r>
          </w:p>
        </w:tc>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Юни 2019 г.</w:t>
            </w:r>
          </w:p>
        </w:tc>
        <w:tc>
          <w:tcPr>
            <w:tcW w:w="5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Август 2019 г.</w:t>
            </w:r>
          </w:p>
        </w:tc>
        <w:tc>
          <w:tcPr>
            <w:tcW w:w="4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4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5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Непр.</w:t>
            </w:r>
          </w:p>
        </w:tc>
      </w:tr>
      <w:tr w:rsidR="007A66E9" w:rsidRPr="007A66E9" w:rsidTr="00A54518">
        <w:trPr>
          <w:trHeight w:val="56"/>
        </w:trPr>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5</w:t>
            </w:r>
          </w:p>
        </w:tc>
        <w:tc>
          <w:tcPr>
            <w:tcW w:w="12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Подмярка 16.4. Подкрепа за хоризонтално и вертикално сътрудничество между участниците във веригата на доставки.</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Подкрепата се предоставя за създаване и развитие на къси вериги на доставки и за създаване и развитие на местни пазари, съгласно определенията в подмярката. Подпомагането обхваща само къси вериги на доставки, които включват не повече от един посредник между земеделския стопанин и потребителя.</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Подбор на проектни предложе-ния. Подборът на проекти може да се извършва за една или две фази на изпълнение..</w:t>
            </w:r>
          </w:p>
        </w:tc>
        <w:tc>
          <w:tcPr>
            <w:tcW w:w="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До левовата равностойност на 8 000 000 евро за втора фаза;</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Организации, съставени от земеделски стопани, МСП или търговци на дребно, които извършват своите дейности в обхвата на конкретна къса верига на доставки или в обхвата на конкретен местен пазар.</w:t>
            </w:r>
          </w:p>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Организациите могат да бъдат юридически лица по Търговския закон или обединения по Закона за задълженията и договорите</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Предоставя се помощ и за дейности за популяризиране на къси вериги на доставки и на местни пазари.</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Проучвания за приложимост на проекта за сътрудничество – 5 000 евро на година за обединение за къса верига на доставки или обединение за местен пазар- допустими само за първа фаза на изпълнение;</w:t>
            </w:r>
          </w:p>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      Стимулиране на интерес и разширяване на състава – 10 000 евро на година за обединение за къса верига на доставки или обединение за местен пазар- допустими само за първа фаза на изпълнение;</w:t>
            </w:r>
          </w:p>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      Текущи разходи във връзка със сътрудничеството  -  допустими само за втора фаза на изпълнение</w:t>
            </w:r>
          </w:p>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      Разходи за популяризиране –допустими само за втора фаза на изпълнение;</w:t>
            </w:r>
          </w:p>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w:t>
            </w:r>
            <w:r w:rsidRPr="007A66E9">
              <w:rPr>
                <w:rFonts w:ascii="Times New Roman" w:eastAsia="Times New Roman" w:hAnsi="Times New Roman" w:cs="Times New Roman"/>
                <w:sz w:val="16"/>
                <w:szCs w:val="16"/>
                <w:lang w:eastAsia="bg-BG"/>
              </w:rPr>
              <w:tab/>
              <w:t>Преки разходи за изпълнение на проект за сътрудничество, включително разходи за инвестиции;</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За разходите за проучвания, разходите за стимулиране на интерес и приобщаване към сътрудничеството и за текущите разходи максималният интензитет на помощта е 50%;</w:t>
            </w:r>
          </w:p>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До 70% за инвестиционни разходи</w:t>
            </w:r>
          </w:p>
        </w:tc>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Септември 2019 г.</w:t>
            </w:r>
          </w:p>
        </w:tc>
        <w:tc>
          <w:tcPr>
            <w:tcW w:w="5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Октомври 2019 г.</w:t>
            </w:r>
          </w:p>
        </w:tc>
        <w:tc>
          <w:tcPr>
            <w:tcW w:w="4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Да</w:t>
            </w:r>
          </w:p>
        </w:tc>
        <w:tc>
          <w:tcPr>
            <w:tcW w:w="4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5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8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Непр.</w:t>
            </w:r>
          </w:p>
        </w:tc>
      </w:tr>
      <w:tr w:rsidR="007A66E9" w:rsidRPr="007A66E9" w:rsidTr="00A54518">
        <w:trPr>
          <w:trHeight w:val="56"/>
        </w:trPr>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6</w:t>
            </w:r>
          </w:p>
        </w:tc>
        <w:tc>
          <w:tcPr>
            <w:tcW w:w="12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Подмярка 19.1 „Помощ за подготвителни дейности“</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Подпомагане за малки  пилотни проекти на МИГ, преминали оценка за административно съответствие и допустимост по реда на Наредба № 22 от 2015 г. за прилагане на подмярка 19.2 „Прилагане на операции в рамките на стратегии за Водено от общностите местно развитие“ от ПРСР 2014 – 2020 г., но нямат одобрена за финансиране стратегия за ВОМР през програмния период 2014 – 2020 г.</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Подбор на проектни предложе-ния</w:t>
            </w:r>
          </w:p>
        </w:tc>
        <w:tc>
          <w:tcPr>
            <w:tcW w:w="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Остатъкът по подмярка 19.1 + остатъци от другите подмерки на мярка 19, чиято стойност предстои да се уточни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МИГ, преминали оценка за административно съответствие и допустимост по реда на Наредба № 22 от 2015 г. за прилагане на подмярка 19.2 „Прилагане на операции в рамките на стратегии за Водено от общностите местно развитие“ от ПРСР 2014 – 2020 г., но нямат одобрена за финансиране стратегия за ВОМР през програмния период 2014 – 2020 г.,</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1. дейности и събития, свързани с популяризиране на местната идентичност;</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16"/>
                <w:szCs w:val="16"/>
                <w:lang w:eastAsia="bg-BG"/>
              </w:rPr>
            </w:pP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2. материални и нематериални активи в интерес на местната общност;</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16"/>
                <w:szCs w:val="16"/>
                <w:lang w:eastAsia="bg-BG"/>
              </w:rPr>
            </w:pP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3. въвеждане на иновативни за местната общност дейности.</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за:</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1. дейности и събития, свързани с популяризиране на местната идентичност, в това число за популяризиране на местни традиции, културно и историческо наследство, традиционни местни продукти и други;</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2. материални и нематериални активи в интерес на местната общност;</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3. въвеждане на иновативни за местната общност дейности.</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До 100%</w:t>
            </w:r>
          </w:p>
        </w:tc>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Ноември 2019 г.</w:t>
            </w:r>
          </w:p>
        </w:tc>
        <w:tc>
          <w:tcPr>
            <w:tcW w:w="5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Декември 2019 г.</w:t>
            </w:r>
          </w:p>
        </w:tc>
        <w:tc>
          <w:tcPr>
            <w:tcW w:w="4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4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5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Непр.</w:t>
            </w:r>
          </w:p>
        </w:tc>
      </w:tr>
      <w:tr w:rsidR="007A66E9" w:rsidRPr="007A66E9" w:rsidTr="00A54518">
        <w:trPr>
          <w:trHeight w:val="56"/>
        </w:trPr>
        <w:tc>
          <w:tcPr>
            <w:tcW w:w="42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8"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7</w:t>
            </w:r>
          </w:p>
        </w:tc>
        <w:tc>
          <w:tcPr>
            <w:tcW w:w="12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Подмярка 19.3  „Подготовка и изпълнение на дейности за сътрудничество на местни инициативни групи“</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Подпомагане на проекти за подготвителни дейности и на проекти за съвместни дейности, насочени към разработване и въвеждане в практиката на продукти, услуги, иновации и др. в селските райони, комбинирайки разнообразните възможности на селските райони и развитие на селски райони с добавена стойност;</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създаване на европейска идентичност в допълнение към местната, регионалната и националната идентичност.</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Подбор на проектни предложе-ния</w:t>
            </w:r>
          </w:p>
        </w:tc>
        <w:tc>
          <w:tcPr>
            <w:tcW w:w="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За 2019 г. 1 000 000 евро.</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Одобрени местни инициативни групи</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1. подготвителни дейности по проекти за междутериториално и транснационално сътрудничество</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2. 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 .</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свързани с разработването на съвместен продукт/услуга, вкл. разходи за материални и нематериални инвестиции;</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за изследвания и пазарни проучвания, директно свързани със съвместното действие;</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свързани с реализирането на промоционални и маркетингови кампании;</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свързани с организирането на обучения, семинари, съвместни събития, срещи и т. н.;</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за публикации в медиите;</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свързани със създаването и оперативната поддръжка на общи структури, създадени с цел изпълнение на проекта;</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Координация на дейностите по проекта (разходи за допълнителен персонал, пътни разходи, разходи за нощувки и храна, хонорари за експерти, разходи за превод, разходи за комуникация и др.).</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свързани със срещи с потенциални партньори;</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свързани с организирането на заседания и мероприятия за планиране на дейностите по проекта;</w:t>
            </w:r>
          </w:p>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Разходи, свързани с разработването на проекта.</w:t>
            </w:r>
          </w:p>
        </w:tc>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До 100%</w:t>
            </w:r>
          </w:p>
        </w:tc>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Август 2018 г.</w:t>
            </w:r>
          </w:p>
        </w:tc>
        <w:tc>
          <w:tcPr>
            <w:tcW w:w="5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Съгласно Регламент (ЕС) 1305/2013, чл. 44, пар. 3 кандидатстването по подмярка 19.3 е текущо.</w:t>
            </w:r>
          </w:p>
        </w:tc>
        <w:tc>
          <w:tcPr>
            <w:tcW w:w="4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Да</w:t>
            </w:r>
          </w:p>
        </w:tc>
        <w:tc>
          <w:tcPr>
            <w:tcW w:w="4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Да</w:t>
            </w:r>
          </w:p>
        </w:tc>
        <w:tc>
          <w:tcPr>
            <w:tcW w:w="5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16"/>
                <w:szCs w:val="16"/>
                <w:lang w:eastAsia="bg-BG"/>
              </w:rPr>
              <w:t>Непр.</w:t>
            </w:r>
          </w:p>
        </w:tc>
      </w:tr>
      <w:tr w:rsidR="007A66E9" w:rsidRPr="007A66E9" w:rsidTr="00A54518">
        <w:trPr>
          <w:trHeight w:val="56"/>
        </w:trPr>
        <w:tc>
          <w:tcPr>
            <w:tcW w:w="14018" w:type="dxa"/>
            <w:gridSpan w:val="1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12" w:right="-108"/>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Общ индикативен бюджет по всички приеми от 2019 г.</w:t>
            </w:r>
          </w:p>
        </w:tc>
        <w:tc>
          <w:tcPr>
            <w:tcW w:w="97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A66E9" w:rsidRPr="007A66E9" w:rsidRDefault="007A66E9" w:rsidP="007A66E9">
            <w:pPr>
              <w:widowControl/>
              <w:spacing w:after="0" w:line="240" w:lineRule="auto"/>
              <w:ind w:left="-102"/>
              <w:jc w:val="center"/>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sz w:val="16"/>
                <w:szCs w:val="16"/>
                <w:lang w:eastAsia="bg-BG"/>
              </w:rPr>
              <w:t>101 578 261 €</w:t>
            </w:r>
          </w:p>
        </w:tc>
        <w:tc>
          <w:tcPr>
            <w:tcW w:w="599" w:type="dxa"/>
            <w:shd w:val="clear" w:color="auto" w:fill="auto"/>
            <w:tcMar>
              <w:top w:w="0" w:type="dxa"/>
              <w:left w:w="10" w:type="dxa"/>
              <w:bottom w:w="0" w:type="dxa"/>
              <w:right w:w="10" w:type="dxa"/>
            </w:tcMar>
          </w:tcPr>
          <w:p w:rsidR="007A66E9" w:rsidRPr="007A66E9" w:rsidRDefault="007A66E9" w:rsidP="007A66E9">
            <w:pPr>
              <w:widowControl/>
              <w:spacing w:after="0" w:line="240" w:lineRule="auto"/>
              <w:ind w:left="-102"/>
              <w:jc w:val="center"/>
              <w:rPr>
                <w:rFonts w:ascii="Times New Roman" w:eastAsia="Times New Roman" w:hAnsi="Times New Roman" w:cs="Times New Roman"/>
                <w:sz w:val="24"/>
                <w:szCs w:val="24"/>
                <w:lang w:eastAsia="bg-BG"/>
              </w:rPr>
            </w:pPr>
          </w:p>
        </w:tc>
      </w:tr>
    </w:tbl>
    <w:p w:rsidR="007A66E9" w:rsidRPr="007A66E9" w:rsidRDefault="007A66E9" w:rsidP="007A66E9">
      <w:pPr>
        <w:widowControl/>
        <w:spacing w:after="0" w:line="240" w:lineRule="auto"/>
        <w:ind w:left="-851" w:right="-597"/>
        <w:jc w:val="both"/>
        <w:rPr>
          <w:rFonts w:ascii="Times New Roman" w:eastAsia="Times New Roman" w:hAnsi="Times New Roman" w:cs="Times New Roman"/>
          <w:b/>
          <w:bCs/>
          <w:sz w:val="24"/>
          <w:szCs w:val="24"/>
          <w:lang w:eastAsia="bg-BG"/>
        </w:rPr>
      </w:pP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r w:rsidRPr="007A66E9">
        <w:rPr>
          <w:rFonts w:ascii="Times New Roman" w:eastAsia="Times New Roman" w:hAnsi="Times New Roman" w:cs="Times New Roman"/>
          <w:b/>
          <w:bCs/>
          <w:sz w:val="24"/>
          <w:szCs w:val="24"/>
          <w:lang w:eastAsia="bg-BG"/>
        </w:rPr>
        <w:t xml:space="preserve">* </w:t>
      </w:r>
      <w:r w:rsidRPr="007A66E9">
        <w:rPr>
          <w:rFonts w:ascii="Times New Roman" w:eastAsia="Times New Roman" w:hAnsi="Times New Roman" w:cs="Times New Roman"/>
          <w:sz w:val="24"/>
          <w:szCs w:val="24"/>
          <w:lang w:eastAsia="bg-BG"/>
        </w:rPr>
        <w:t>Приемите на заявления за подпомагане по мерки 10 „Агроекология и климат“, 11 „Биологично земеделие“, 12 „Плащания по „Натура 2000” и Рамковата директива за водите“, 13 „Плащания за райони, изправени пред природни или други специфични ограничения“ и 14 „Хуманно отношение към животните“ от ПРСР 2014 – 2020 г. не се включват в ИГРП за 2019 г., тъй като редът и изискванията на ПМС № 162 от 2016 г. не са приложими за тях. Приемът на заявления по тези мерки 10, 11, 12 и 13 се извършва по реда на Наредба № 5 от 2009 г. за условията и реда за подаване на заявления по схеми и мерки за директни плащания.</w:t>
      </w: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r w:rsidRPr="007A66E9">
        <w:rPr>
          <w:rFonts w:ascii="Times New Roman" w:eastAsia="Times New Roman" w:hAnsi="Times New Roman" w:cs="Times New Roman"/>
          <w:sz w:val="24"/>
          <w:szCs w:val="24"/>
          <w:lang w:eastAsia="bg-BG"/>
        </w:rPr>
        <w:t>** Подмярката предстои да бъде разработена и включена в ПРСР 2014-2020.</w:t>
      </w: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p>
    <w:p w:rsidR="007A66E9" w:rsidRPr="007A66E9" w:rsidRDefault="007A66E9" w:rsidP="007A66E9">
      <w:pPr>
        <w:widowControl/>
        <w:spacing w:after="0" w:line="240" w:lineRule="auto"/>
        <w:ind w:left="-851" w:right="-597"/>
        <w:jc w:val="both"/>
        <w:rPr>
          <w:rFonts w:ascii="Times New Roman" w:eastAsia="Times New Roman" w:hAnsi="Times New Roman" w:cs="Times New Roman"/>
          <w:sz w:val="24"/>
          <w:szCs w:val="24"/>
          <w:lang w:eastAsia="bg-BG"/>
        </w:rPr>
      </w:pPr>
    </w:p>
    <w:p w:rsidR="007A66E9" w:rsidRPr="007A66E9" w:rsidRDefault="007A66E9" w:rsidP="007A66E9">
      <w:pPr>
        <w:widowControl/>
        <w:suppressAutoHyphens w:val="0"/>
        <w:spacing w:after="0" w:line="240" w:lineRule="auto"/>
        <w:textAlignment w:val="auto"/>
        <w:rPr>
          <w:rFonts w:ascii="Times New Roman" w:eastAsia="Times New Roman" w:hAnsi="Times New Roman" w:cs="Times New Roman"/>
          <w:b/>
          <w:kern w:val="0"/>
          <w:sz w:val="24"/>
          <w:szCs w:val="24"/>
          <w:lang w:eastAsia="bg-BG"/>
        </w:rPr>
      </w:pPr>
    </w:p>
    <w:tbl>
      <w:tblPr>
        <w:tblW w:w="5000" w:type="pct"/>
        <w:tblCellMar>
          <w:left w:w="10" w:type="dxa"/>
          <w:right w:w="10" w:type="dxa"/>
        </w:tblCellMar>
        <w:tblLook w:val="0000" w:firstRow="0" w:lastRow="0" w:firstColumn="0" w:lastColumn="0" w:noHBand="0" w:noVBand="0"/>
      </w:tblPr>
      <w:tblGrid>
        <w:gridCol w:w="276"/>
        <w:gridCol w:w="909"/>
        <w:gridCol w:w="914"/>
        <w:gridCol w:w="935"/>
        <w:gridCol w:w="983"/>
        <w:gridCol w:w="935"/>
        <w:gridCol w:w="714"/>
        <w:gridCol w:w="893"/>
        <w:gridCol w:w="805"/>
        <w:gridCol w:w="776"/>
        <w:gridCol w:w="779"/>
        <w:gridCol w:w="980"/>
        <w:gridCol w:w="879"/>
        <w:gridCol w:w="745"/>
        <w:gridCol w:w="718"/>
        <w:gridCol w:w="748"/>
        <w:gridCol w:w="686"/>
        <w:gridCol w:w="545"/>
      </w:tblGrid>
      <w:tr w:rsidR="007A66E9" w:rsidRPr="007A66E9" w:rsidTr="00A54518">
        <w:trPr>
          <w:trHeight w:val="561"/>
        </w:trPr>
        <w:tc>
          <w:tcPr>
            <w:tcW w:w="14220"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jc w:val="center"/>
              <w:textAlignment w:val="auto"/>
              <w:rPr>
                <w:rFonts w:ascii="Times New Roman" w:eastAsia="Times New Roman" w:hAnsi="Times New Roman" w:cs="Times New Roman"/>
                <w:b/>
                <w:kern w:val="0"/>
                <w:sz w:val="20"/>
                <w:szCs w:val="20"/>
                <w:lang w:eastAsia="bg-BG"/>
              </w:rPr>
            </w:pPr>
            <w:r w:rsidRPr="007A66E9">
              <w:rPr>
                <w:rFonts w:ascii="Times New Roman" w:eastAsia="Times New Roman" w:hAnsi="Times New Roman" w:cs="Times New Roman"/>
                <w:b/>
                <w:kern w:val="0"/>
                <w:sz w:val="20"/>
                <w:szCs w:val="20"/>
                <w:lang w:eastAsia="bg-BG"/>
              </w:rPr>
              <w:t>Процедури, по които се предоставя БФП за интегрирани проектни предложения</w:t>
            </w:r>
          </w:p>
        </w:tc>
      </w:tr>
      <w:tr w:rsidR="007A66E9" w:rsidRPr="007A66E9" w:rsidTr="00A54518">
        <w:trPr>
          <w:trHeight w:val="711"/>
        </w:trPr>
        <w:tc>
          <w:tcPr>
            <w:tcW w:w="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before="120" w:after="0" w:line="240" w:lineRule="auto"/>
              <w:ind w:left="-108" w:right="-108"/>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 xml:space="preserve">№ по ред </w:t>
            </w:r>
          </w:p>
        </w:tc>
        <w:tc>
          <w:tcPr>
            <w:tcW w:w="9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12" w:right="-108"/>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Наимено-вание на  процедурата</w:t>
            </w:r>
          </w:p>
        </w:tc>
        <w:tc>
          <w:tcPr>
            <w:tcW w:w="9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8" w:right="-107"/>
              <w:jc w:val="center"/>
              <w:textAlignment w:val="auto"/>
            </w:pPr>
            <w:r w:rsidRPr="007A66E9">
              <w:rPr>
                <w:rFonts w:ascii="Times New Roman" w:eastAsia="Times New Roman" w:hAnsi="Times New Roman" w:cs="Times New Roman"/>
                <w:b/>
                <w:kern w:val="0"/>
                <w:sz w:val="16"/>
                <w:szCs w:val="16"/>
                <w:lang w:eastAsia="bg-BG"/>
              </w:rPr>
              <w:t>Цели на предоста-вяната БФП по процедурата</w:t>
            </w:r>
          </w:p>
        </w:tc>
        <w:tc>
          <w:tcPr>
            <w:tcW w:w="9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9" w:right="-85"/>
              <w:jc w:val="center"/>
              <w:textAlignment w:val="auto"/>
            </w:pPr>
            <w:r w:rsidRPr="007A66E9">
              <w:rPr>
                <w:rFonts w:ascii="Times New Roman" w:eastAsia="Times New Roman" w:hAnsi="Times New Roman" w:cs="Times New Roman"/>
                <w:b/>
                <w:kern w:val="0"/>
                <w:sz w:val="16"/>
                <w:szCs w:val="16"/>
                <w:lang w:eastAsia="bg-BG"/>
              </w:rPr>
              <w:t xml:space="preserve">Начин на провеждане на  процедурата  съгласно чл. 2 от ПМС </w:t>
            </w:r>
            <w:r w:rsidRPr="007A66E9">
              <w:rPr>
                <w:rFonts w:ascii="Times New Roman" w:eastAsia="Times New Roman" w:hAnsi="Times New Roman" w:cs="Times New Roman"/>
                <w:b/>
                <w:kern w:val="0"/>
                <w:sz w:val="16"/>
                <w:szCs w:val="16"/>
                <w:lang w:eastAsia="bg-BG"/>
              </w:rPr>
              <w:br/>
              <w:t xml:space="preserve">№ 162 от </w:t>
            </w:r>
            <w:r w:rsidRPr="007A66E9">
              <w:rPr>
                <w:rFonts w:ascii="Times New Roman" w:eastAsia="Times New Roman" w:hAnsi="Times New Roman" w:cs="Times New Roman"/>
                <w:b/>
                <w:kern w:val="0"/>
                <w:sz w:val="16"/>
                <w:szCs w:val="16"/>
                <w:lang w:eastAsia="bg-BG"/>
              </w:rPr>
              <w:br/>
              <w:t>2016 г.</w:t>
            </w:r>
          </w:p>
        </w:tc>
        <w:tc>
          <w:tcPr>
            <w:tcW w:w="9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9" w:right="-85"/>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Извършване на предва-рителен подбор на концепции за проектни предложения</w:t>
            </w:r>
          </w:p>
        </w:tc>
        <w:tc>
          <w:tcPr>
            <w:tcW w:w="9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9" w:right="-85"/>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Програми, по които се предоставя БФП по процедурата</w:t>
            </w:r>
          </w:p>
        </w:tc>
        <w:tc>
          <w:tcPr>
            <w:tcW w:w="7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9" w:right="-85"/>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Водеща програма</w:t>
            </w:r>
          </w:p>
        </w:tc>
        <w:tc>
          <w:tcPr>
            <w:tcW w:w="8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29" w:right="-107"/>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Общ размер на БФП  по процедурата (в лв.)</w:t>
            </w:r>
          </w:p>
        </w:tc>
        <w:tc>
          <w:tcPr>
            <w:tcW w:w="8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9" w:right="-108"/>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Допустими кандидати</w:t>
            </w:r>
          </w:p>
        </w:tc>
        <w:tc>
          <w:tcPr>
            <w:tcW w:w="7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9" w:right="-108"/>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Примерни допустими дейности</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8" w:right="-106"/>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Категории допустими разходи</w:t>
            </w:r>
          </w:p>
        </w:tc>
        <w:tc>
          <w:tcPr>
            <w:tcW w:w="9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91" w:right="-74"/>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Максимален</w:t>
            </w:r>
          </w:p>
          <w:p w:rsidR="007A66E9" w:rsidRPr="007A66E9" w:rsidRDefault="007A66E9" w:rsidP="007A66E9">
            <w:pPr>
              <w:widowControl/>
              <w:suppressAutoHyphens w:val="0"/>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 на съ-финансиране</w:t>
            </w:r>
          </w:p>
        </w:tc>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42" w:right="-108"/>
              <w:jc w:val="center"/>
              <w:textAlignment w:val="auto"/>
            </w:pPr>
            <w:r w:rsidRPr="007A66E9">
              <w:rPr>
                <w:rFonts w:ascii="Times New Roman" w:eastAsia="Times New Roman" w:hAnsi="Times New Roman" w:cs="Times New Roman"/>
                <w:b/>
                <w:kern w:val="0"/>
                <w:sz w:val="16"/>
                <w:szCs w:val="16"/>
                <w:lang w:eastAsia="bg-BG"/>
              </w:rPr>
              <w:t>Дата на обявяване на процедурата</w:t>
            </w:r>
          </w:p>
        </w:tc>
        <w:tc>
          <w:tcPr>
            <w:tcW w:w="74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7" w:right="-108"/>
              <w:jc w:val="center"/>
              <w:textAlignment w:val="auto"/>
            </w:pPr>
            <w:r w:rsidRPr="007A66E9">
              <w:rPr>
                <w:rFonts w:ascii="Times New Roman" w:eastAsia="Times New Roman" w:hAnsi="Times New Roman" w:cs="Times New Roman"/>
                <w:b/>
                <w:kern w:val="0"/>
                <w:sz w:val="16"/>
                <w:szCs w:val="16"/>
                <w:lang w:eastAsia="bg-BG"/>
              </w:rPr>
              <w:t>Краен срок за подаване на проектни предложе-ния</w:t>
            </w:r>
          </w:p>
        </w:tc>
        <w:tc>
          <w:tcPr>
            <w:tcW w:w="14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102" w:right="-146"/>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Представлява ли процедурата/част от нея:</w:t>
            </w:r>
          </w:p>
        </w:tc>
        <w:tc>
          <w:tcPr>
            <w:tcW w:w="1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before="120" w:after="0" w:line="240" w:lineRule="auto"/>
              <w:ind w:left="-98" w:right="-108"/>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 xml:space="preserve">Размер на БФП за интегриран проект – общо и по програми </w:t>
            </w:r>
            <w:r w:rsidRPr="007A66E9">
              <w:rPr>
                <w:rFonts w:ascii="Times New Roman" w:eastAsia="Times New Roman" w:hAnsi="Times New Roman" w:cs="Times New Roman"/>
                <w:b/>
                <w:kern w:val="0"/>
                <w:sz w:val="16"/>
                <w:szCs w:val="16"/>
                <w:lang w:eastAsia="bg-BG"/>
              </w:rPr>
              <w:br/>
              <w:t>(в лв.)</w:t>
            </w:r>
          </w:p>
        </w:tc>
      </w:tr>
      <w:tr w:rsidR="007A66E9" w:rsidRPr="007A66E9" w:rsidTr="00A54518">
        <w:trPr>
          <w:trHeight w:val="537"/>
        </w:trPr>
        <w:tc>
          <w:tcPr>
            <w:tcW w:w="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ind w:left="-28"/>
              <w:jc w:val="center"/>
              <w:textAlignment w:val="auto"/>
              <w:rPr>
                <w:rFonts w:ascii="Times New Roman" w:eastAsia="Times New Roman" w:hAnsi="Times New Roman" w:cs="Times New Roman"/>
                <w:b/>
                <w:kern w:val="0"/>
                <w:sz w:val="16"/>
                <w:szCs w:val="16"/>
                <w:lang w:eastAsia="bg-BG"/>
              </w:rPr>
            </w:pPr>
          </w:p>
        </w:tc>
        <w:tc>
          <w:tcPr>
            <w:tcW w:w="9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91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9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9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9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71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8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7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7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9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8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7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6"/>
                <w:szCs w:val="16"/>
                <w:lang w:eastAsia="bg-BG"/>
              </w:rPr>
            </w:pP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държавна помощ</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ind w:left="-141" w:right="-164"/>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минимална  помощ</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ind w:left="-76" w:right="-108"/>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мин.</w:t>
            </w:r>
          </w:p>
        </w:tc>
        <w:tc>
          <w:tcPr>
            <w:tcW w:w="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66E9" w:rsidRPr="007A66E9" w:rsidRDefault="007A66E9" w:rsidP="007A66E9">
            <w:pPr>
              <w:widowControl/>
              <w:suppressAutoHyphens w:val="0"/>
              <w:spacing w:after="0" w:line="240" w:lineRule="auto"/>
              <w:ind w:left="-108" w:right="-86"/>
              <w:jc w:val="center"/>
              <w:textAlignment w:val="auto"/>
              <w:rPr>
                <w:rFonts w:ascii="Times New Roman" w:eastAsia="Times New Roman" w:hAnsi="Times New Roman" w:cs="Times New Roman"/>
                <w:b/>
                <w:kern w:val="0"/>
                <w:sz w:val="16"/>
                <w:szCs w:val="16"/>
                <w:lang w:eastAsia="bg-BG"/>
              </w:rPr>
            </w:pPr>
            <w:r w:rsidRPr="007A66E9">
              <w:rPr>
                <w:rFonts w:ascii="Times New Roman" w:eastAsia="Times New Roman" w:hAnsi="Times New Roman" w:cs="Times New Roman"/>
                <w:b/>
                <w:kern w:val="0"/>
                <w:sz w:val="16"/>
                <w:szCs w:val="16"/>
                <w:lang w:eastAsia="bg-BG"/>
              </w:rPr>
              <w:t>макс.</w:t>
            </w:r>
          </w:p>
        </w:tc>
      </w:tr>
      <w:tr w:rsidR="007A66E9" w:rsidRPr="007A66E9" w:rsidTr="00A54518">
        <w:tc>
          <w:tcPr>
            <w:tcW w:w="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9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9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9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7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8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c>
          <w:tcPr>
            <w:tcW w:w="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sz w:val="18"/>
                <w:szCs w:val="18"/>
                <w:lang w:eastAsia="bg-BG"/>
              </w:rPr>
            </w:pPr>
            <w:r w:rsidRPr="007A66E9">
              <w:rPr>
                <w:rFonts w:ascii="Times New Roman" w:eastAsia="Times New Roman" w:hAnsi="Times New Roman" w:cs="Times New Roman"/>
                <w:b/>
                <w:kern w:val="0"/>
                <w:sz w:val="18"/>
                <w:szCs w:val="18"/>
                <w:lang w:eastAsia="bg-BG"/>
              </w:rPr>
              <w:t>-</w:t>
            </w:r>
          </w:p>
        </w:tc>
      </w:tr>
    </w:tbl>
    <w:p w:rsidR="007A66E9" w:rsidRPr="007A66E9" w:rsidRDefault="007A66E9" w:rsidP="007A66E9">
      <w:pPr>
        <w:widowControl/>
        <w:suppressAutoHyphens w:val="0"/>
        <w:spacing w:after="0" w:line="240" w:lineRule="auto"/>
        <w:jc w:val="center"/>
        <w:textAlignment w:val="auto"/>
        <w:rPr>
          <w:rFonts w:ascii="Times New Roman" w:eastAsia="Times New Roman" w:hAnsi="Times New Roman" w:cs="Times New Roman"/>
          <w:b/>
          <w:kern w:val="0"/>
          <w:lang w:eastAsia="bg-BG"/>
        </w:rPr>
      </w:pPr>
    </w:p>
    <w:p w:rsidR="007A66E9" w:rsidRPr="007A66E9" w:rsidRDefault="007A66E9" w:rsidP="007A66E9">
      <w:pPr>
        <w:widowControl/>
        <w:spacing w:after="0" w:line="240" w:lineRule="auto"/>
        <w:jc w:val="center"/>
        <w:rPr>
          <w:rFonts w:ascii="Times New Roman" w:eastAsia="Times New Roman" w:hAnsi="Times New Roman" w:cs="Times New Roman"/>
          <w:b/>
          <w:lang w:eastAsia="bg-BG"/>
        </w:rPr>
      </w:pPr>
    </w:p>
    <w:p w:rsidR="007A66E9" w:rsidRPr="007A66E9" w:rsidRDefault="007A66E9" w:rsidP="007A66E9">
      <w:pPr>
        <w:widowControl/>
        <w:tabs>
          <w:tab w:val="left" w:pos="-1986"/>
          <w:tab w:val="center" w:pos="3543"/>
          <w:tab w:val="right" w:pos="8079"/>
        </w:tabs>
        <w:spacing w:after="0" w:line="240" w:lineRule="auto"/>
        <w:rPr>
          <w:rFonts w:ascii="Times New Roman" w:eastAsia="Times New Roman" w:hAnsi="Times New Roman" w:cs="Times New Roman"/>
          <w:sz w:val="16"/>
          <w:szCs w:val="16"/>
          <w:lang w:eastAsia="bg-BG"/>
        </w:rPr>
      </w:pPr>
    </w:p>
    <w:p w:rsidR="007A66E9" w:rsidRPr="007A66E9" w:rsidRDefault="007A66E9" w:rsidP="007A66E9">
      <w:pPr>
        <w:widowControl/>
        <w:tabs>
          <w:tab w:val="left" w:pos="-1986"/>
          <w:tab w:val="center" w:pos="3543"/>
          <w:tab w:val="right" w:pos="8079"/>
        </w:tabs>
        <w:spacing w:after="0" w:line="240" w:lineRule="auto"/>
        <w:rPr>
          <w:rFonts w:ascii="Times New Roman" w:eastAsia="Times New Roman" w:hAnsi="Times New Roman" w:cs="Times New Roman"/>
          <w:sz w:val="16"/>
          <w:szCs w:val="16"/>
          <w:lang w:eastAsia="bg-BG"/>
        </w:rPr>
      </w:pPr>
    </w:p>
    <w:p w:rsidR="007A66E9" w:rsidRPr="007A66E9" w:rsidRDefault="007A66E9" w:rsidP="007A66E9">
      <w:pPr>
        <w:widowControl/>
        <w:tabs>
          <w:tab w:val="left" w:pos="-1986"/>
          <w:tab w:val="center" w:pos="3543"/>
          <w:tab w:val="right" w:pos="8079"/>
        </w:tabs>
        <w:spacing w:after="0" w:line="240" w:lineRule="auto"/>
        <w:rPr>
          <w:rFonts w:ascii="Times New Roman" w:eastAsia="Times New Roman" w:hAnsi="Times New Roman" w:cs="Times New Roman"/>
          <w:sz w:val="16"/>
          <w:szCs w:val="16"/>
          <w:lang w:eastAsia="bg-BG"/>
        </w:rPr>
      </w:pPr>
    </w:p>
    <w:p w:rsidR="007A66E9" w:rsidRPr="007A66E9" w:rsidRDefault="007A66E9" w:rsidP="007A66E9">
      <w:pPr>
        <w:widowControl/>
        <w:tabs>
          <w:tab w:val="left" w:pos="-1986"/>
          <w:tab w:val="center" w:pos="3543"/>
          <w:tab w:val="right" w:pos="8079"/>
        </w:tabs>
        <w:spacing w:after="0" w:line="240" w:lineRule="auto"/>
        <w:rPr>
          <w:rFonts w:ascii="Times New Roman" w:eastAsia="Times New Roman" w:hAnsi="Times New Roman" w:cs="Times New Roman"/>
          <w:sz w:val="16"/>
          <w:szCs w:val="16"/>
          <w:lang w:eastAsia="bg-BG"/>
        </w:rPr>
      </w:pPr>
    </w:p>
    <w:p w:rsidR="007A66E9" w:rsidRPr="007A66E9" w:rsidRDefault="007A66E9" w:rsidP="007A66E9">
      <w:pPr>
        <w:widowControl/>
        <w:tabs>
          <w:tab w:val="left" w:pos="-1986"/>
          <w:tab w:val="center" w:pos="3543"/>
          <w:tab w:val="right" w:pos="8079"/>
        </w:tabs>
        <w:spacing w:after="0" w:line="240" w:lineRule="auto"/>
        <w:rPr>
          <w:rFonts w:ascii="Times New Roman" w:eastAsia="Times New Roman" w:hAnsi="Times New Roman" w:cs="Times New Roman"/>
          <w:sz w:val="16"/>
          <w:szCs w:val="16"/>
          <w:lang w:eastAsia="bg-BG"/>
        </w:rPr>
      </w:pPr>
    </w:p>
    <w:p w:rsidR="007A66E9" w:rsidRPr="007A66E9" w:rsidRDefault="007A66E9" w:rsidP="007A66E9">
      <w:pPr>
        <w:widowControl/>
        <w:tabs>
          <w:tab w:val="left" w:pos="-1986"/>
          <w:tab w:val="center" w:pos="3543"/>
          <w:tab w:val="right" w:pos="8079"/>
        </w:tabs>
        <w:spacing w:after="0" w:line="240" w:lineRule="auto"/>
        <w:ind w:left="-993"/>
        <w:jc w:val="right"/>
        <w:rPr>
          <w:rFonts w:ascii="Times New Roman" w:eastAsia="Times New Roman" w:hAnsi="Times New Roman" w:cs="Times New Roman"/>
          <w:sz w:val="16"/>
          <w:szCs w:val="16"/>
          <w:lang w:eastAsia="bg-BG"/>
        </w:rPr>
      </w:pPr>
    </w:p>
    <w:p w:rsidR="007A66E9" w:rsidRPr="007A66E9" w:rsidRDefault="007A66E9" w:rsidP="007A66E9">
      <w:pPr>
        <w:widowControl/>
        <w:tabs>
          <w:tab w:val="left" w:pos="-1986"/>
          <w:tab w:val="center" w:pos="3543"/>
          <w:tab w:val="right" w:pos="8079"/>
        </w:tabs>
        <w:spacing w:after="0" w:line="240" w:lineRule="auto"/>
        <w:ind w:left="-993"/>
        <w:jc w:val="right"/>
        <w:rPr>
          <w:rFonts w:ascii="Times New Roman" w:eastAsia="Times New Roman" w:hAnsi="Times New Roman" w:cs="Times New Roman"/>
          <w:sz w:val="24"/>
          <w:szCs w:val="24"/>
          <w:lang w:eastAsia="bg-BG"/>
        </w:rPr>
      </w:pPr>
    </w:p>
    <w:p w:rsidR="007A66E9" w:rsidRPr="007A66E9" w:rsidRDefault="007A66E9" w:rsidP="007A66E9">
      <w:pPr>
        <w:widowControl/>
        <w:tabs>
          <w:tab w:val="left" w:pos="-1986"/>
          <w:tab w:val="center" w:pos="3543"/>
          <w:tab w:val="right" w:pos="8079"/>
        </w:tabs>
        <w:spacing w:after="0" w:line="240" w:lineRule="auto"/>
        <w:ind w:left="-993"/>
        <w:jc w:val="right"/>
        <w:rPr>
          <w:rFonts w:ascii="Times New Roman" w:eastAsia="Times New Roman" w:hAnsi="Times New Roman" w:cs="Times New Roman"/>
          <w:b/>
          <w:i/>
          <w:sz w:val="24"/>
          <w:szCs w:val="24"/>
          <w:lang w:eastAsia="bg-BG"/>
        </w:rPr>
      </w:pPr>
      <w:r w:rsidRPr="007A66E9">
        <w:rPr>
          <w:rFonts w:ascii="Times New Roman" w:eastAsia="Times New Roman" w:hAnsi="Times New Roman" w:cs="Times New Roman"/>
          <w:b/>
          <w:i/>
          <w:sz w:val="24"/>
          <w:szCs w:val="24"/>
          <w:lang w:eastAsia="bg-BG"/>
        </w:rPr>
        <w:t>Приложение № 11</w:t>
      </w:r>
    </w:p>
    <w:p w:rsidR="007A66E9" w:rsidRPr="007A66E9" w:rsidRDefault="007A66E9" w:rsidP="007A66E9">
      <w:pPr>
        <w:widowControl/>
        <w:tabs>
          <w:tab w:val="left" w:pos="-1986"/>
          <w:tab w:val="center" w:pos="3543"/>
          <w:tab w:val="right" w:pos="8079"/>
        </w:tabs>
        <w:spacing w:after="0" w:line="240" w:lineRule="auto"/>
        <w:ind w:left="-993"/>
        <w:jc w:val="right"/>
        <w:rPr>
          <w:rFonts w:ascii="Times New Roman" w:eastAsia="Times New Roman" w:hAnsi="Times New Roman" w:cs="Times New Roman"/>
          <w:sz w:val="24"/>
          <w:szCs w:val="24"/>
          <w:lang w:eastAsia="bg-BG"/>
        </w:rPr>
      </w:pPr>
    </w:p>
    <w:p w:rsidR="007A66E9" w:rsidRPr="007A66E9" w:rsidRDefault="007A66E9" w:rsidP="007A66E9">
      <w:pPr>
        <w:widowControl/>
        <w:spacing w:after="0" w:line="240" w:lineRule="auto"/>
        <w:jc w:val="both"/>
        <w:rPr>
          <w:rFonts w:ascii="Times New Roman" w:eastAsia="Times New Roman" w:hAnsi="Times New Roman" w:cs="Times New Roman"/>
          <w:b/>
          <w:bCs/>
          <w:i/>
          <w:sz w:val="24"/>
          <w:szCs w:val="24"/>
          <w:lang w:eastAsia="bg-BG"/>
        </w:rPr>
      </w:pPr>
    </w:p>
    <w:p w:rsidR="001572F4" w:rsidRPr="001572F4" w:rsidRDefault="001572F4" w:rsidP="001572F4">
      <w:pPr>
        <w:widowControl/>
        <w:spacing w:after="0" w:line="240" w:lineRule="auto"/>
        <w:jc w:val="both"/>
        <w:rPr>
          <w:rFonts w:ascii="Times New Roman" w:eastAsia="Times New Roman" w:hAnsi="Times New Roman" w:cs="Times New Roman"/>
          <w:sz w:val="24"/>
          <w:szCs w:val="24"/>
          <w:lang w:eastAsia="bg-BG"/>
        </w:rPr>
      </w:pPr>
      <w:r w:rsidRPr="001572F4">
        <w:rPr>
          <w:rFonts w:ascii="Times New Roman" w:eastAsia="Times New Roman" w:hAnsi="Times New Roman" w:cs="Times New Roman"/>
          <w:b/>
          <w:sz w:val="24"/>
          <w:szCs w:val="24"/>
          <w:u w:val="single"/>
          <w:lang w:eastAsia="bg-BG"/>
        </w:rPr>
        <w:t>Списък на участниците в 11- тото заседание на Комитета по наблюдение на ПРСР (2014-2020)</w:t>
      </w:r>
    </w:p>
    <w:p w:rsidR="001572F4" w:rsidRPr="001572F4" w:rsidRDefault="001572F4" w:rsidP="001572F4">
      <w:pPr>
        <w:widowControl/>
        <w:spacing w:after="0" w:line="240" w:lineRule="auto"/>
        <w:jc w:val="both"/>
        <w:rPr>
          <w:rFonts w:ascii="Times New Roman" w:eastAsia="Times New Roman" w:hAnsi="Times New Roman" w:cs="Times New Roman"/>
          <w:b/>
          <w:bCs/>
          <w:i/>
          <w:sz w:val="24"/>
          <w:szCs w:val="24"/>
          <w:lang w:eastAsia="bg-BG"/>
        </w:rPr>
      </w:pPr>
    </w:p>
    <w:p w:rsidR="001572F4" w:rsidRPr="001572F4" w:rsidRDefault="001572F4" w:rsidP="001572F4">
      <w:pPr>
        <w:widowControl/>
        <w:spacing w:after="0" w:line="240" w:lineRule="auto"/>
        <w:jc w:val="both"/>
        <w:rPr>
          <w:rFonts w:ascii="Times New Roman" w:eastAsia="Times New Roman" w:hAnsi="Times New Roman" w:cs="Times New Roman"/>
          <w:b/>
          <w:bCs/>
          <w:i/>
          <w:sz w:val="24"/>
          <w:szCs w:val="24"/>
          <w:lang w:eastAsia="bg-BG"/>
        </w:rPr>
      </w:pPr>
    </w:p>
    <w:p w:rsidR="001572F4" w:rsidRPr="001572F4" w:rsidRDefault="001572F4" w:rsidP="001572F4">
      <w:pPr>
        <w:widowControl/>
        <w:spacing w:after="0" w:line="240" w:lineRule="auto"/>
        <w:jc w:val="both"/>
        <w:rPr>
          <w:rFonts w:ascii="Times New Roman" w:eastAsia="Times New Roman" w:hAnsi="Times New Roman" w:cs="Times New Roman"/>
          <w:b/>
          <w:bCs/>
          <w:i/>
          <w:sz w:val="24"/>
          <w:szCs w:val="24"/>
          <w:lang w:eastAsia="bg-BG"/>
        </w:rPr>
      </w:pPr>
    </w:p>
    <w:tbl>
      <w:tblPr>
        <w:tblW w:w="12107" w:type="dxa"/>
        <w:tblInd w:w="108" w:type="dxa"/>
        <w:tblCellMar>
          <w:left w:w="10" w:type="dxa"/>
          <w:right w:w="10" w:type="dxa"/>
        </w:tblCellMar>
        <w:tblLook w:val="0000" w:firstRow="0" w:lastRow="0" w:firstColumn="0" w:lastColumn="0" w:noHBand="0" w:noVBand="0"/>
      </w:tblPr>
      <w:tblGrid>
        <w:gridCol w:w="1898"/>
        <w:gridCol w:w="3619"/>
        <w:gridCol w:w="6590"/>
      </w:tblGrid>
      <w:tr w:rsidR="001572F4" w:rsidRPr="001572F4" w:rsidTr="00C9352C">
        <w:trPr>
          <w:tblHeader/>
        </w:trPr>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uppressAutoHyphens w:val="0"/>
              <w:autoSpaceDE w:val="0"/>
              <w:spacing w:after="0" w:line="240" w:lineRule="auto"/>
              <w:textAlignment w:val="auto"/>
              <w:rPr>
                <w:rFonts w:ascii="Times New Roman" w:eastAsia="Calibri" w:hAnsi="Times New Roman" w:cs="Times New Roman"/>
                <w:b/>
                <w:bCs/>
                <w:kern w:val="0"/>
                <w:sz w:val="24"/>
                <w:szCs w:val="24"/>
                <w:lang w:eastAsia="bg-BG"/>
              </w:rPr>
            </w:pPr>
            <w:r w:rsidRPr="001572F4">
              <w:rPr>
                <w:rFonts w:ascii="Times New Roman" w:eastAsia="Calibri" w:hAnsi="Times New Roman" w:cs="Times New Roman"/>
                <w:b/>
                <w:bCs/>
                <w:kern w:val="0"/>
                <w:sz w:val="24"/>
                <w:szCs w:val="24"/>
                <w:lang w:eastAsia="bg-BG"/>
              </w:rPr>
              <w:t>№</w:t>
            </w: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uppressAutoHyphens w:val="0"/>
              <w:autoSpaceDE w:val="0"/>
              <w:spacing w:after="0" w:line="240" w:lineRule="auto"/>
              <w:jc w:val="center"/>
              <w:textAlignment w:val="auto"/>
              <w:rPr>
                <w:rFonts w:ascii="Times New Roman" w:eastAsia="Calibri" w:hAnsi="Times New Roman" w:cs="Times New Roman"/>
                <w:b/>
                <w:bCs/>
                <w:kern w:val="0"/>
                <w:sz w:val="24"/>
                <w:szCs w:val="24"/>
                <w:lang w:eastAsia="bg-BG"/>
              </w:rPr>
            </w:pPr>
          </w:p>
          <w:p w:rsidR="001572F4" w:rsidRPr="001572F4" w:rsidRDefault="001572F4" w:rsidP="001572F4">
            <w:pPr>
              <w:suppressAutoHyphens w:val="0"/>
              <w:autoSpaceDE w:val="0"/>
              <w:spacing w:after="0" w:line="240" w:lineRule="auto"/>
              <w:jc w:val="center"/>
              <w:textAlignment w:val="auto"/>
              <w:rPr>
                <w:rFonts w:ascii="Times New Roman" w:eastAsia="Calibri" w:hAnsi="Times New Roman" w:cs="Times New Roman"/>
                <w:b/>
                <w:bCs/>
                <w:kern w:val="0"/>
                <w:sz w:val="24"/>
                <w:szCs w:val="24"/>
                <w:lang w:eastAsia="bg-BG"/>
              </w:rPr>
            </w:pPr>
            <w:r w:rsidRPr="001572F4">
              <w:rPr>
                <w:rFonts w:ascii="Times New Roman" w:eastAsia="Calibri" w:hAnsi="Times New Roman" w:cs="Times New Roman"/>
                <w:b/>
                <w:bCs/>
                <w:kern w:val="0"/>
                <w:sz w:val="24"/>
                <w:szCs w:val="24"/>
                <w:lang w:eastAsia="bg-BG"/>
              </w:rPr>
              <w:t>ИМЕ И ФАМИЛИЯ</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uppressAutoHyphens w:val="0"/>
              <w:autoSpaceDE w:val="0"/>
              <w:spacing w:after="0" w:line="240" w:lineRule="auto"/>
              <w:jc w:val="both"/>
              <w:textAlignment w:val="auto"/>
              <w:rPr>
                <w:rFonts w:ascii="Times New Roman" w:eastAsia="Calibri" w:hAnsi="Times New Roman" w:cs="Times New Roman"/>
                <w:b/>
                <w:bCs/>
                <w:kern w:val="0"/>
                <w:sz w:val="24"/>
                <w:szCs w:val="24"/>
                <w:lang w:eastAsia="bg-BG"/>
              </w:rPr>
            </w:pPr>
          </w:p>
          <w:p w:rsidR="001572F4" w:rsidRPr="001572F4" w:rsidRDefault="001572F4" w:rsidP="001572F4">
            <w:pPr>
              <w:suppressAutoHyphens w:val="0"/>
              <w:autoSpaceDE w:val="0"/>
              <w:spacing w:after="0" w:line="240" w:lineRule="auto"/>
              <w:jc w:val="both"/>
              <w:textAlignment w:val="auto"/>
              <w:rPr>
                <w:rFonts w:ascii="Times New Roman" w:eastAsia="Calibri" w:hAnsi="Times New Roman" w:cs="Times New Roman"/>
                <w:b/>
                <w:bCs/>
                <w:kern w:val="0"/>
                <w:sz w:val="24"/>
                <w:szCs w:val="24"/>
                <w:lang w:eastAsia="bg-BG"/>
              </w:rPr>
            </w:pPr>
            <w:r w:rsidRPr="001572F4">
              <w:rPr>
                <w:rFonts w:ascii="Times New Roman" w:eastAsia="Calibri" w:hAnsi="Times New Roman" w:cs="Times New Roman"/>
                <w:b/>
                <w:bCs/>
                <w:kern w:val="0"/>
                <w:sz w:val="24"/>
                <w:szCs w:val="24"/>
                <w:lang w:eastAsia="bg-BG"/>
              </w:rPr>
              <w:t>ДЛЪЖНОСТ/ ИНСТИТУЦИЯ</w:t>
            </w:r>
          </w:p>
        </w:tc>
      </w:tr>
      <w:tr w:rsidR="001572F4" w:rsidRPr="001572F4" w:rsidTr="0026413C">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Д-р Лозана Василева</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Заместник-министър на земеделието, храните и горите</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Ръководител на Управляващия орган на ПРСР (2014-2020)</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Председател на Комитета за наблюдение на ПРСР</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Цветомира Стайкова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 - председател на КН на ПРСР</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Директор на дирекция „Развитие на селските райони“, 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Антон Аспарухов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„Програмиране, планиране, наблюдение и техническа помощ“ в дирекция „Развитие на селските райони”, 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Светослав Цеков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„Публични мерки“ в дирекция „Развитие на селските райони”, 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Стефан Спасов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„Водено от общностите местно развитие” в дирекция „Развитие на селските райони”, 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Атидже Байрямова Алиева-Вели</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Заместник - изпълнителен директор на Държавен фонд „Земеделие” </w:t>
            </w:r>
          </w:p>
        </w:tc>
      </w:tr>
      <w:tr w:rsidR="001572F4" w:rsidRPr="001572F4" w:rsidTr="00C9352C">
        <w:trPr>
          <w:trHeight w:val="688"/>
        </w:trPr>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Антоанета Хюбнер</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експерт в дирекция „Морско дело и рибарство”, 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Наталия Ефремова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 главен директор Главна дирекция „Европейски фондове, международни програми и проекти“ (ГД „ЕФМПП“),  МТСП</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Кети Крачолова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експерт в отдел „Стратегическо планиране и договаряне“ в Главна дирекция „Стратегическо планиране и програми за регионално развитие”, МРРБ</w:t>
            </w:r>
          </w:p>
        </w:tc>
      </w:tr>
      <w:tr w:rsidR="001572F4" w:rsidRPr="001572F4" w:rsidTr="00C9352C">
        <w:trPr>
          <w:trHeight w:val="954"/>
        </w:trPr>
        <w:tc>
          <w:tcPr>
            <w:tcW w:w="18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Магдалена Димитрова-Макавеева </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Държавен експерт в отдел „Програмиране и планиране“, дирекция Програмиране, наблюдение и оценка“, ИА ОПНОИР</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Десислава Михалкова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Старши експерт, отдел „Програмиране, оценка и договаряне на БФП“, Главна дирекция „Европейски фондове за конкурентоспособност“, МИ</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Инж. Николай Дечев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„Мониторинг, информация и комуникация“ в Дирекция „Координация на програми и проекти”, МТИТС</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Десислава Николова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Държавен експерт „Мониторинг, информация и комуникация” в Дирекция „Координация на програми и проекти”, МТИТС</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Ралица Петрова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експерт в сектор „Биоразнообразие, въздух и техническа помощ“ отдел „Мониторинг”, Главна дирекция „Оперативна програма „Околна среда”, МОСВ</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Теодора Влаевска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Държавен експерт в дирекция „Икономическа и социална политика”, МС</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Богдана Стоянова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Старши експерт в Дирекция „Координация по въпросите на ЕС”, МС</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Соня Микова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Държавен експерт в отдел „Наблюдение и анализ” в дирекция „Централно координационно звено“, МС</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Мария Веселинова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„Публично финансиране на реалния сектор и държавни помощи в чувствителни отрасли“ в дирекция „Държавни помощи и реален сектор”, МФ</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Яна Маринова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Държавен експерт в дирекция „Икономическа и финансова политика“, МФ</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Гиргина Николова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„Сметки и цени в селското и горското стопанство” в дирекция „Макроикономическа статистика“, Национален статистически институт (НСИ)</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Петър Марков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„Европейски програми и проекти”, Министерство на културата (МК)</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Инж. Николай Василев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експерт в дирекция „</w:t>
            </w:r>
            <w:r w:rsidR="00767C5B" w:rsidRPr="00767C5B">
              <w:rPr>
                <w:rFonts w:ascii="Times New Roman" w:hAnsi="Times New Roman" w:cs="Times New Roman"/>
                <w:sz w:val="24"/>
                <w:szCs w:val="24"/>
              </w:rPr>
              <w:t>Наука и международна дейност</w:t>
            </w:r>
            <w:r w:rsidRPr="00767C5B">
              <w:rPr>
                <w:rFonts w:ascii="Times New Roman" w:hAnsi="Times New Roman" w:cs="Times New Roman"/>
                <w:sz w:val="24"/>
                <w:szCs w:val="24"/>
              </w:rPr>
              <w:t>”,</w:t>
            </w:r>
            <w:r w:rsidRPr="001572F4">
              <w:rPr>
                <w:rFonts w:ascii="Times New Roman" w:hAnsi="Times New Roman" w:cs="Times New Roman"/>
                <w:sz w:val="24"/>
                <w:szCs w:val="24"/>
              </w:rPr>
              <w:t xml:space="preserve"> Изпълнителна агенция по горите (ИАГ)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Д-р Иванка Кузманова /заместник/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експерт в дирекция „Здравеопазване и хуманно отношение към животните и контрол на фуражите”, БАБХ</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Пламен Алексиев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Кмет на община Радомир, Регионален съвет за развитие на Югозападен район</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Милена Недева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Кмет на община Каспичан, Регионален съвет за развитие на Североизточен район</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Мирослав Петров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Областен управител на област Плевен, Регионален съвет за развитие на Северозападен район</w:t>
            </w:r>
          </w:p>
        </w:tc>
      </w:tr>
      <w:tr w:rsidR="001572F4" w:rsidRPr="001572F4" w:rsidTr="00C9352C">
        <w:trPr>
          <w:trHeight w:val="566"/>
        </w:trPr>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Красимир Джонев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Кмет на община Летница, Национално сдружение на общините в Република България (НСОРБ)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Симеон Петков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Експерт в НСОРБ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Явор Гечев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Член на Националния съвет на Асоциация на индустриалния капитал в България (АИКБ)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Венцислав Върбанов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Председател на Асоциацията на земеделските производители в България, член на Конфедерацията на работодателите и индустриалците в България (КРИБ)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Диана Найденова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експерт в КНСБ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Инж. Иоанис Партениотис</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Вицепрезидент на КТ „ПОДКРЕПА”</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Иван Главчовски </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Сдружение „Коалиция за устойчиво развитие”</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Евгения Ачкаканова-Димитрова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Асоциация за развъждане на породата Ил Дьо Франс</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Петко Симеонов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Член на УС на Национална браншова организация „Български пчеларски съюз” (НБО-БПС)</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Станка Тачева-Йоргова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Председател на УС на Бизнесцентър/Бизнес инкубатор Нова Загора</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Станчо Ставрев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Сдружение „Местна инициативна група „Тунджа”</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Румен Андреев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Асоциация на индустриалното свиневъдство в България</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Инж. Тихомир Томанов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Изпълнителен директор на Асоциация общински гори (АОГ)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Албена Симеонова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Председател на УС на Фондация за околна среда и земеделие</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Надежда Богданова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Държавен експерт в дирекция „Обща политика в областта на хидромелиорациите и рибарството“, 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Мариана Маринова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„Стратегии и анализ на политики“ в дирекция „Анализ и стратегическо планиране”, 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Стела Виткова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„Организации на производители“ в Дирекция „Пазарни мерки и организации на производители“. 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Младен Младенов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Изпълнителен директор на Национална служба за съвети в земеделието (НССЗ)</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Димитър Ванев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директор на Главна дирекция „Съвети в земеделието и аналитична лаборатория“, НССЗ</w:t>
            </w:r>
          </w:p>
        </w:tc>
      </w:tr>
      <w:tr w:rsidR="001572F4" w:rsidRPr="001572F4" w:rsidTr="00C9352C">
        <w:trPr>
          <w:trHeight w:val="576"/>
        </w:trPr>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Милка Нанова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Директор на дирекция „Програми и проекти в туризма“, Министерство на туризма (МТ)</w:t>
            </w:r>
          </w:p>
        </w:tc>
      </w:tr>
      <w:tr w:rsidR="001572F4" w:rsidRPr="001572F4" w:rsidTr="00C9352C">
        <w:trPr>
          <w:trHeight w:val="576"/>
        </w:trPr>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Катя Първанова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експерт в дирекция „Програми и проекти в туризма“, МТ</w:t>
            </w:r>
          </w:p>
        </w:tc>
      </w:tr>
      <w:tr w:rsidR="001572F4" w:rsidRPr="001572F4" w:rsidTr="00C9352C">
        <w:trPr>
          <w:trHeight w:val="576"/>
        </w:trPr>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Росица Карамфилова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Началник на отдел „Стратегии и програми за околна среда“ (СПОС), Дирекция „Политики по околна среда“ (ПОС) Министерство на околната среда и водите ( МОСВ)</w:t>
            </w:r>
          </w:p>
        </w:tc>
      </w:tr>
      <w:tr w:rsidR="001572F4" w:rsidRPr="001572F4" w:rsidTr="00C9352C">
        <w:trPr>
          <w:trHeight w:val="576"/>
        </w:trPr>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Чавдар Димитров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експерт в отдел „Комуникационна инфраструктура и широколентов достъп“, дирекция „Комуникационна и информационна инфраструктура“, Държавна агенция „Електронно управление“ (ДАЕУ)</w:t>
            </w:r>
          </w:p>
        </w:tc>
      </w:tr>
      <w:tr w:rsidR="001572F4" w:rsidRPr="001572F4" w:rsidTr="00C9352C">
        <w:trPr>
          <w:trHeight w:val="576"/>
        </w:trPr>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Кристина Цветанска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Председател на УС на Българска асоциация на консултантите по европейски програми (БАКЕП)</w:t>
            </w:r>
          </w:p>
          <w:p w:rsidR="001572F4" w:rsidRPr="001572F4" w:rsidRDefault="001572F4" w:rsidP="001572F4">
            <w:pPr>
              <w:spacing w:after="0" w:line="240" w:lineRule="auto"/>
              <w:rPr>
                <w:rFonts w:ascii="Times New Roman" w:hAnsi="Times New Roman" w:cs="Times New Roman"/>
                <w:sz w:val="24"/>
                <w:szCs w:val="24"/>
              </w:rPr>
            </w:pP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Десислава Кръстева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Главен експерт в отдел „Стратегически документи и сътрудничество“, дирекция „Законодателство и методология“, АОП</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Силвия Георгиева </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Директор на дирекция „Наблюдение, координация и контрол на дейността на Разплащателната агенция”, 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Ивайло Тодоров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/заместник/</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Член на УС на АЗПБ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Ангел Вукодинов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Член на КС, Национална асоциация на зърнопроизводителите (НАЗ)</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Савина Влахова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Председател на Съюз на българските мелничари (СБМ)</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Веселина Зумпалова-Ралчева</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Член на УС на Българска асоциация „Биопродукти” (БАБ)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Стоилко Апостолов</w:t>
            </w:r>
          </w:p>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/титуляр/</w:t>
            </w:r>
          </w:p>
        </w:tc>
        <w:tc>
          <w:tcPr>
            <w:tcW w:w="6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Управител на Фондация за биологично земеделие „Биоселена”</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MICHAEL PIELKE</w:t>
            </w:r>
          </w:p>
          <w:p w:rsidR="001572F4" w:rsidRPr="001572F4" w:rsidRDefault="001572F4" w:rsidP="001572F4">
            <w:pPr>
              <w:spacing w:after="0" w:line="240" w:lineRule="auto"/>
              <w:rPr>
                <w:rFonts w:ascii="Times New Roman" w:hAnsi="Times New Roman" w:cs="Times New Roman"/>
                <w:sz w:val="24"/>
                <w:szCs w:val="24"/>
              </w:rPr>
            </w:pP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Главна дирекция „Земеделие и развитие на селските райони“ на ЕК.</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ЕЛИЦА ЖИВКОВА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Главна дирекция „Земеделие и развитие на селските райони“ на ЕК</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Камен Костов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ОА Сливен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Соня Хорозова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НСОРБ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Петър Павлов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МЗХГ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Марияна Чолакова</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СПРММБ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Светла Русева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ИПАЗР Н.Пушкаров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Евдокия Кръстева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ЦЗК, МС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Таня Георгиева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ЗУ на НСМ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Георги Узунов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ЗУ на НСМ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Янка Попова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НОКА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Илия Проданов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НАЗ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Емел Халил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МЗХГ</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Светлана Боянова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Кабинет на зам.-министър председател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Веселин Цветанов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БАБ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Милена Йорданова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РСР, МЗХГ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Владислав Цветанов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РСР, МЗХГ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Божидар Иванов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ИАИ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Георги Грънчаров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СПБ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Рангел Матински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НСГБ</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Анелия Иванова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КТ „Подкрепа“</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Петя Славчева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ДФЗ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Ангел Банев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ДФЗ</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Янислав Янев</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ДФЗ</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Косара Мутафчиева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БАБ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Таня Петрова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РСР, МЗХГ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Савина Влалхова</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СБМ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Михаил Карабельов</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МЗХГ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Десислава Ташкова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АТЛАС ТРАВЕЛС ЕООД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Цветелина Арнаудова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АТЛАС ТРАВЕЛС ЕООД</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Полина Влахова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АТЛАС ТРАВЕЛС ЕООД</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Йорданка Найденова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стенограф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Николина Ковачева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стенограф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Малина Стефанова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преводач</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Марияна Пампорова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преводач </w:t>
            </w:r>
          </w:p>
        </w:tc>
      </w:tr>
      <w:tr w:rsidR="001572F4" w:rsidRPr="001572F4" w:rsidTr="00C9352C">
        <w:tc>
          <w:tcPr>
            <w:tcW w:w="1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FC13F0">
            <w:pPr>
              <w:numPr>
                <w:ilvl w:val="0"/>
                <w:numId w:val="99"/>
              </w:numPr>
              <w:spacing w:after="0" w:line="240" w:lineRule="auto"/>
              <w:rPr>
                <w:rFonts w:ascii="Times New Roman" w:hAnsi="Times New Roman" w:cs="Times New Roman"/>
                <w:sz w:val="24"/>
                <w:szCs w:val="24"/>
              </w:rPr>
            </w:pPr>
          </w:p>
        </w:tc>
        <w:tc>
          <w:tcPr>
            <w:tcW w:w="3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 xml:space="preserve">Снежана Григорова </w:t>
            </w:r>
          </w:p>
        </w:tc>
        <w:tc>
          <w:tcPr>
            <w:tcW w:w="6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572F4" w:rsidRPr="001572F4" w:rsidRDefault="001572F4" w:rsidP="001572F4">
            <w:pPr>
              <w:spacing w:after="0" w:line="240" w:lineRule="auto"/>
              <w:rPr>
                <w:rFonts w:ascii="Times New Roman" w:hAnsi="Times New Roman" w:cs="Times New Roman"/>
                <w:sz w:val="24"/>
                <w:szCs w:val="24"/>
              </w:rPr>
            </w:pPr>
            <w:r w:rsidRPr="001572F4">
              <w:rPr>
                <w:rFonts w:ascii="Times New Roman" w:hAnsi="Times New Roman" w:cs="Times New Roman"/>
                <w:sz w:val="24"/>
                <w:szCs w:val="24"/>
              </w:rPr>
              <w:t>РСР, МЗХГ</w:t>
            </w:r>
          </w:p>
        </w:tc>
      </w:tr>
    </w:tbl>
    <w:p w:rsidR="007A66E9" w:rsidRDefault="007A66E9" w:rsidP="007A66E9">
      <w:pPr>
        <w:widowControl/>
        <w:spacing w:after="0" w:line="240" w:lineRule="auto"/>
        <w:jc w:val="both"/>
        <w:rPr>
          <w:rFonts w:ascii="Times New Roman" w:eastAsia="Times New Roman" w:hAnsi="Times New Roman" w:cs="Times New Roman"/>
          <w:bCs/>
          <w:sz w:val="24"/>
          <w:szCs w:val="24"/>
          <w:lang w:eastAsia="bg-BG"/>
        </w:rPr>
      </w:pPr>
    </w:p>
    <w:sectPr w:rsidR="007A66E9">
      <w:headerReference w:type="default" r:id="rId28"/>
      <w:footerReference w:type="even" r:id="rId29"/>
      <w:footerReference w:type="default" r:id="rId30"/>
      <w:pgSz w:w="16838" w:h="11906" w:orient="landscape"/>
      <w:pgMar w:top="1417" w:right="1417" w:bottom="1417" w:left="1417"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633" w:rsidRDefault="00B14633">
      <w:pPr>
        <w:spacing w:after="0" w:line="240" w:lineRule="auto"/>
      </w:pPr>
      <w:r>
        <w:separator/>
      </w:r>
    </w:p>
  </w:endnote>
  <w:endnote w:type="continuationSeparator" w:id="0">
    <w:p w:rsidR="00B14633" w:rsidRDefault="00B14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
    <w:altName w:val="Times New Roman"/>
    <w:charset w:val="00"/>
    <w:family w:val="auto"/>
    <w:pitch w:val="variable"/>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620871"/>
      <w:docPartObj>
        <w:docPartGallery w:val="Page Numbers (Bottom of Page)"/>
        <w:docPartUnique/>
      </w:docPartObj>
    </w:sdtPr>
    <w:sdtEndPr>
      <w:rPr>
        <w:noProof/>
      </w:rPr>
    </w:sdtEndPr>
    <w:sdtContent>
      <w:p w:rsidR="004E1544" w:rsidRDefault="004E1544">
        <w:pPr>
          <w:pStyle w:val="Footer"/>
        </w:pPr>
        <w:r>
          <w:fldChar w:fldCharType="begin"/>
        </w:r>
        <w:r>
          <w:instrText xml:space="preserve"> PAGE   \* MERGEFORMAT </w:instrText>
        </w:r>
        <w:r>
          <w:fldChar w:fldCharType="separate"/>
        </w:r>
        <w:r w:rsidR="000E18B7">
          <w:rPr>
            <w:noProof/>
          </w:rPr>
          <w:t>1</w:t>
        </w:r>
        <w:r>
          <w:rPr>
            <w:noProof/>
          </w:rPr>
          <w:fldChar w:fldCharType="end"/>
        </w:r>
      </w:p>
    </w:sdtContent>
  </w:sdt>
  <w:p w:rsidR="004E1544" w:rsidRDefault="004E15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Footer"/>
      <w:ind w:right="360"/>
    </w:pPr>
    <w:r>
      <w:fldChar w:fldCharType="begin"/>
    </w:r>
    <w:r>
      <w:instrText xml:space="preserve"> PAGE </w:instrText>
    </w:r>
    <w:r>
      <w:fldChar w:fldCharType="separate"/>
    </w:r>
    <w:r w:rsidR="000E18B7">
      <w:rPr>
        <w:noProof/>
      </w:rPr>
      <w:t>94</w:t>
    </w:r>
    <w:r>
      <w:fldChar w:fldCharType="end"/>
    </w:r>
  </w:p>
  <w:p w:rsidR="004E1544" w:rsidRDefault="004E154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Footer"/>
    </w:pPr>
    <w:r>
      <w:fldChar w:fldCharType="begin"/>
    </w:r>
    <w:r>
      <w:instrText xml:space="preserve"> PAGE </w:instrText>
    </w:r>
    <w:r>
      <w:fldChar w:fldCharType="separate"/>
    </w:r>
    <w:r w:rsidR="000E18B7">
      <w:rPr>
        <w:noProof/>
      </w:rPr>
      <w:t>95</w:t>
    </w:r>
    <w:r>
      <w:fldChar w:fldCharType="end"/>
    </w:r>
  </w:p>
  <w:p w:rsidR="004E1544" w:rsidRDefault="004E1544">
    <w:pPr>
      <w:pStyle w:val="Footer"/>
      <w:ind w:right="360"/>
    </w:pPr>
  </w:p>
  <w:p w:rsidR="004E1544" w:rsidRDefault="004E154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Footer"/>
      <w:jc w:val="right"/>
    </w:pPr>
    <w:r>
      <w:fldChar w:fldCharType="begin"/>
    </w:r>
    <w:r>
      <w:instrText xml:space="preserve"> PAGE </w:instrText>
    </w:r>
    <w:r>
      <w:fldChar w:fldCharType="separate"/>
    </w:r>
    <w:r w:rsidR="000E18B7">
      <w:rPr>
        <w:noProof/>
      </w:rPr>
      <w:t>44</w:t>
    </w:r>
    <w:r>
      <w:fldChar w:fldCharType="end"/>
    </w:r>
  </w:p>
  <w:p w:rsidR="004E1544" w:rsidRDefault="004E1544">
    <w:pPr>
      <w:pStyle w:val="Footer"/>
    </w:pPr>
  </w:p>
  <w:p w:rsidR="004E1544" w:rsidRDefault="004E154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Footer"/>
      <w:ind w:right="360"/>
    </w:pPr>
    <w:r>
      <w:fldChar w:fldCharType="begin"/>
    </w:r>
    <w:r>
      <w:instrText xml:space="preserve"> PAGE </w:instrText>
    </w:r>
    <w:r>
      <w:fldChar w:fldCharType="separate"/>
    </w:r>
    <w:r w:rsidR="007F432D">
      <w:rPr>
        <w:noProof/>
      </w:rPr>
      <w:t>108</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Footer"/>
    </w:pPr>
    <w:r>
      <w:fldChar w:fldCharType="begin"/>
    </w:r>
    <w:r>
      <w:instrText xml:space="preserve"> PAGE </w:instrText>
    </w:r>
    <w:r>
      <w:fldChar w:fldCharType="separate"/>
    </w:r>
    <w:r w:rsidR="007F432D">
      <w:rPr>
        <w:noProof/>
      </w:rPr>
      <w:t>109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633" w:rsidRDefault="00B14633">
      <w:pPr>
        <w:spacing w:after="0" w:line="240" w:lineRule="auto"/>
      </w:pPr>
      <w:r>
        <w:rPr>
          <w:color w:val="000000"/>
        </w:rPr>
        <w:separator/>
      </w:r>
    </w:p>
  </w:footnote>
  <w:footnote w:type="continuationSeparator" w:id="0">
    <w:p w:rsidR="00B14633" w:rsidRDefault="00B146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pStyle w:val="Heading1"/>
    </w:pPr>
  </w:p>
  <w:p w:rsidR="004E1544" w:rsidRDefault="004E154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44" w:rsidRDefault="004E1544">
    <w:pPr>
      <w:jc w:val="both"/>
      <w:rPr>
        <w:lang w:val="en-US"/>
      </w:rPr>
    </w:pPr>
  </w:p>
  <w:p w:rsidR="004E1544" w:rsidRDefault="004E1544">
    <w:pPr>
      <w:jc w:val="both"/>
      <w:rPr>
        <w:b/>
      </w:rPr>
    </w:pPr>
  </w:p>
  <w:p w:rsidR="004E1544" w:rsidRDefault="004E15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908"/>
    <w:multiLevelType w:val="multilevel"/>
    <w:tmpl w:val="41388806"/>
    <w:styleLink w:val="WWNum1"/>
    <w:lvl w:ilvl="0">
      <w:numFmt w:val="bullet"/>
      <w:lvlText w:val="-"/>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
    <w:nsid w:val="033421D1"/>
    <w:multiLevelType w:val="multilevel"/>
    <w:tmpl w:val="0CE89496"/>
    <w:styleLink w:val="WWNum29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
    <w:nsid w:val="04D221BA"/>
    <w:multiLevelType w:val="multilevel"/>
    <w:tmpl w:val="0BB224D8"/>
    <w:styleLink w:val="WWNum8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05DA1DEE"/>
    <w:multiLevelType w:val="hybridMultilevel"/>
    <w:tmpl w:val="B1AA3318"/>
    <w:lvl w:ilvl="0" w:tplc="56AA0DA4">
      <w:start w:val="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24A570A"/>
    <w:multiLevelType w:val="multilevel"/>
    <w:tmpl w:val="A7E6B44C"/>
    <w:styleLink w:val="WWNum3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131C3FB2"/>
    <w:multiLevelType w:val="multilevel"/>
    <w:tmpl w:val="98FC68E0"/>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rPr>
        <w:rFonts w:eastAsia="Times New Roman" w:cs="Times New Roman"/>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16061615"/>
    <w:multiLevelType w:val="multilevel"/>
    <w:tmpl w:val="8EF28496"/>
    <w:styleLink w:val="WWNum2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rPr>
        <w:rFonts w:eastAsia="Times New Roman" w:cs="Times New Roman"/>
        <w:b/>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196C7FEE"/>
    <w:multiLevelType w:val="hybridMultilevel"/>
    <w:tmpl w:val="E0AA9F48"/>
    <w:lvl w:ilvl="0" w:tplc="F2C40E4C">
      <w:start w:val="1"/>
      <w:numFmt w:val="decimal"/>
      <w:lvlText w:val="%1."/>
      <w:lvlJc w:val="left"/>
      <w:pPr>
        <w:ind w:left="0" w:hanging="360"/>
      </w:pPr>
      <w:rPr>
        <w:rFonts w:hint="default"/>
        <w:b/>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nsid w:val="19C00159"/>
    <w:multiLevelType w:val="multilevel"/>
    <w:tmpl w:val="D49029BE"/>
    <w:styleLink w:val="WWNum21"/>
    <w:lvl w:ilvl="0">
      <w:numFmt w:val="bullet"/>
      <w:lvlText w:val="-"/>
      <w:lvlJc w:val="left"/>
      <w:rPr>
        <w:rFonts w:eastAsia="Times New Roman" w:cs="Times New Roman"/>
        <w:b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1A3C383B"/>
    <w:multiLevelType w:val="multilevel"/>
    <w:tmpl w:val="C742CE0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nsid w:val="1A4D418D"/>
    <w:multiLevelType w:val="multilevel"/>
    <w:tmpl w:val="FAEE21B0"/>
    <w:styleLink w:val="WWNum1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CCA2313"/>
    <w:multiLevelType w:val="multilevel"/>
    <w:tmpl w:val="8A123668"/>
    <w:styleLink w:val="WWNum6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1D626D42"/>
    <w:multiLevelType w:val="multilevel"/>
    <w:tmpl w:val="BD389CA8"/>
    <w:styleLink w:val="WWNum12"/>
    <w:lvl w:ilvl="0">
      <w:start w:val="4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207C679C"/>
    <w:multiLevelType w:val="multilevel"/>
    <w:tmpl w:val="0D2230D4"/>
    <w:styleLink w:val="WWNum131"/>
    <w:lvl w:ilvl="0">
      <w:start w:val="4"/>
      <w:numFmt w:val="decimal"/>
      <w:lvlText w:val="%1"/>
      <w:lvlJc w:val="left"/>
      <w:pPr>
        <w:ind w:left="360" w:hanging="360"/>
      </w:pPr>
      <w:rPr>
        <w:b w:val="0"/>
      </w:rPr>
    </w:lvl>
    <w:lvl w:ilvl="1">
      <w:start w:val="2"/>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
    <w:nsid w:val="23011271"/>
    <w:multiLevelType w:val="multilevel"/>
    <w:tmpl w:val="652250CC"/>
    <w:styleLink w:val="WWNum2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241910CD"/>
    <w:multiLevelType w:val="multilevel"/>
    <w:tmpl w:val="971CA180"/>
    <w:styleLink w:val="WWNum121"/>
    <w:lvl w:ilvl="0">
      <w:start w:val="4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243E08BB"/>
    <w:multiLevelType w:val="hybridMultilevel"/>
    <w:tmpl w:val="4322EE0E"/>
    <w:lvl w:ilvl="0" w:tplc="B1E67B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4D65664"/>
    <w:multiLevelType w:val="multilevel"/>
    <w:tmpl w:val="E850C40A"/>
    <w:styleLink w:val="WWNum11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293A41E3"/>
    <w:multiLevelType w:val="multilevel"/>
    <w:tmpl w:val="EBB0467C"/>
    <w:styleLink w:val="WWNum1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nsid w:val="2A194C53"/>
    <w:multiLevelType w:val="multilevel"/>
    <w:tmpl w:val="BB0C5650"/>
    <w:styleLink w:val="WWNum1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nsid w:val="2C7A6E02"/>
    <w:multiLevelType w:val="multilevel"/>
    <w:tmpl w:val="38EE712C"/>
    <w:styleLink w:val="WWNum10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nsid w:val="2D3A3E16"/>
    <w:multiLevelType w:val="multilevel"/>
    <w:tmpl w:val="449CA17E"/>
    <w:styleLink w:val="WWNum181"/>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22">
    <w:nsid w:val="2D3D4B31"/>
    <w:multiLevelType w:val="multilevel"/>
    <w:tmpl w:val="BA084DEE"/>
    <w:styleLink w:val="WWNum24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nsid w:val="2D6536C2"/>
    <w:multiLevelType w:val="multilevel"/>
    <w:tmpl w:val="C05E8CCE"/>
    <w:styleLink w:val="WWNum2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rPr>
        <w:rFonts w:eastAsia="Times New Roman" w:cs="Times New Roman"/>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nsid w:val="30045051"/>
    <w:multiLevelType w:val="hybridMultilevel"/>
    <w:tmpl w:val="532C46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305274F4"/>
    <w:multiLevelType w:val="multilevel"/>
    <w:tmpl w:val="09F6A006"/>
    <w:styleLink w:val="WWNum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nsid w:val="310958CB"/>
    <w:multiLevelType w:val="hybridMultilevel"/>
    <w:tmpl w:val="3B0E08F0"/>
    <w:lvl w:ilvl="0" w:tplc="FFFFFFFF">
      <w:start w:val="1"/>
      <w:numFmt w:val="bullet"/>
      <w:lvlText w:val=""/>
      <w:lvlJc w:val="left"/>
      <w:pPr>
        <w:ind w:left="720" w:hanging="360"/>
      </w:pPr>
      <w:rPr>
        <w:rFonts w:ascii="Symbol" w:hAnsi="Symbol"/>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33422173"/>
    <w:multiLevelType w:val="multilevel"/>
    <w:tmpl w:val="E312D5B6"/>
    <w:styleLink w:val="WWNum2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nsid w:val="3507137B"/>
    <w:multiLevelType w:val="multilevel"/>
    <w:tmpl w:val="359895FC"/>
    <w:styleLink w:val="WWNum30"/>
    <w:lvl w:ilvl="0">
      <w:start w:val="1"/>
      <w:numFmt w:val="upp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nsid w:val="36977293"/>
    <w:multiLevelType w:val="multilevel"/>
    <w:tmpl w:val="91C6D0E2"/>
    <w:styleLink w:val="WWNum1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0">
    <w:nsid w:val="375D1F06"/>
    <w:multiLevelType w:val="multilevel"/>
    <w:tmpl w:val="C9F408DE"/>
    <w:styleLink w:val="WWNum16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39C73C23"/>
    <w:multiLevelType w:val="multilevel"/>
    <w:tmpl w:val="7884F450"/>
    <w:styleLink w:val="WWNum1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A1860B1"/>
    <w:multiLevelType w:val="multilevel"/>
    <w:tmpl w:val="4F74A76A"/>
    <w:styleLink w:val="WWNum27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nsid w:val="3B3A70BE"/>
    <w:multiLevelType w:val="multilevel"/>
    <w:tmpl w:val="114283BE"/>
    <w:styleLink w:val="WWNum13"/>
    <w:lvl w:ilvl="0">
      <w:start w:val="4"/>
      <w:numFmt w:val="decimal"/>
      <w:lvlText w:val="%1"/>
      <w:lvlJc w:val="left"/>
      <w:rPr>
        <w:b w:val="0"/>
      </w:rPr>
    </w:lvl>
    <w:lvl w:ilvl="1">
      <w:start w:val="2"/>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34">
    <w:nsid w:val="3C3909D1"/>
    <w:multiLevelType w:val="multilevel"/>
    <w:tmpl w:val="8BD00BB4"/>
    <w:styleLink w:val="WWNum14"/>
    <w:lvl w:ilvl="0">
      <w:numFmt w:val="bullet"/>
      <w:lvlText w:val="-"/>
      <w:lvlJc w:val="left"/>
      <w:rPr>
        <w:rFonts w:eastAsia="MS Mincho"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nsid w:val="3C501141"/>
    <w:multiLevelType w:val="multilevel"/>
    <w:tmpl w:val="50C2AAF8"/>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nsid w:val="3CF836F4"/>
    <w:multiLevelType w:val="multilevel"/>
    <w:tmpl w:val="F2961276"/>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nsid w:val="3EAB5BD3"/>
    <w:multiLevelType w:val="hybridMultilevel"/>
    <w:tmpl w:val="4936E9D2"/>
    <w:lvl w:ilvl="0" w:tplc="DA569C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3EEF05F1"/>
    <w:multiLevelType w:val="multilevel"/>
    <w:tmpl w:val="583ECEAE"/>
    <w:styleLink w:val="WWNum3"/>
    <w:lvl w:ilvl="0">
      <w:numFmt w:val="bullet"/>
      <w:lvlText w:val="-"/>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nsid w:val="410B7E22"/>
    <w:multiLevelType w:val="multilevel"/>
    <w:tmpl w:val="4CC0BF4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nsid w:val="44970D17"/>
    <w:multiLevelType w:val="hybridMultilevel"/>
    <w:tmpl w:val="CC5203B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1">
    <w:nsid w:val="46EB7784"/>
    <w:multiLevelType w:val="hybridMultilevel"/>
    <w:tmpl w:val="D4901174"/>
    <w:lvl w:ilvl="0" w:tplc="CFDA7DB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nsid w:val="47C103FF"/>
    <w:multiLevelType w:val="hybridMultilevel"/>
    <w:tmpl w:val="D77AE28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3">
    <w:nsid w:val="4941096C"/>
    <w:multiLevelType w:val="hybridMultilevel"/>
    <w:tmpl w:val="658AE52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nsid w:val="49701DFC"/>
    <w:multiLevelType w:val="multilevel"/>
    <w:tmpl w:val="07909C94"/>
    <w:styleLink w:val="WWNum11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4D0E649E"/>
    <w:multiLevelType w:val="multilevel"/>
    <w:tmpl w:val="A5E0F014"/>
    <w:styleLink w:val="WWNum5"/>
    <w:lvl w:ilvl="0">
      <w:numFmt w:val="bullet"/>
      <w:lvlText w:val="-"/>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6">
    <w:nsid w:val="4D241A02"/>
    <w:multiLevelType w:val="multilevel"/>
    <w:tmpl w:val="CD1887EE"/>
    <w:styleLink w:val="WWNum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4D452690"/>
    <w:multiLevelType w:val="multilevel"/>
    <w:tmpl w:val="52B2FE3E"/>
    <w:styleLink w:val="WWNum141"/>
    <w:lvl w:ilvl="0">
      <w:numFmt w:val="bullet"/>
      <w:lvlText w:val="-"/>
      <w:lvlJc w:val="left"/>
      <w:pPr>
        <w:ind w:left="720" w:hanging="360"/>
      </w:pPr>
      <w:rPr>
        <w:rFonts w:ascii="Times New Roman" w:eastAsia="MS Mincho"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nsid w:val="4D7C62B6"/>
    <w:multiLevelType w:val="multilevel"/>
    <w:tmpl w:val="62D29C32"/>
    <w:styleLink w:val="WWNum211"/>
    <w:lvl w:ilvl="0">
      <w:numFmt w:val="bullet"/>
      <w:lvlText w:val="-"/>
      <w:lvlJc w:val="left"/>
      <w:pPr>
        <w:ind w:left="720" w:hanging="360"/>
      </w:pPr>
      <w:rPr>
        <w:rFonts w:ascii="Times New Roman" w:eastAsia="Times New Roman" w:hAnsi="Times New Roman" w:cs="Times New Roman"/>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nsid w:val="4E0C5FE5"/>
    <w:multiLevelType w:val="multilevel"/>
    <w:tmpl w:val="203014D2"/>
    <w:styleLink w:val="WWNum11"/>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0">
    <w:nsid w:val="519B6792"/>
    <w:multiLevelType w:val="multilevel"/>
    <w:tmpl w:val="38F44572"/>
    <w:styleLink w:val="WWNum201"/>
    <w:lvl w:ilvl="0">
      <w:numFmt w:val="bullet"/>
      <w:lvlText w:val="-"/>
      <w:lvlJc w:val="left"/>
      <w:pPr>
        <w:ind w:left="720" w:hanging="360"/>
      </w:pPr>
      <w:rPr>
        <w:rFonts w:ascii="Times New Roman" w:eastAsia="Times New Roman" w:hAnsi="Times New Roman" w:cs="Times New Roman"/>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nsid w:val="524C7FD7"/>
    <w:multiLevelType w:val="multilevel"/>
    <w:tmpl w:val="67CC96F2"/>
    <w:styleLink w:val="WWNum2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2">
    <w:nsid w:val="52F541E6"/>
    <w:multiLevelType w:val="multilevel"/>
    <w:tmpl w:val="97C28ED6"/>
    <w:styleLink w:val="WWNum7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56C87BA0"/>
    <w:multiLevelType w:val="multilevel"/>
    <w:tmpl w:val="EDF8C972"/>
    <w:styleLink w:val="WWNum8"/>
    <w:lvl w:ilvl="0">
      <w:numFmt w:val="bullet"/>
      <w:lvlText w:val="-"/>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4">
    <w:nsid w:val="58E34229"/>
    <w:multiLevelType w:val="multilevel"/>
    <w:tmpl w:val="D79AE5D6"/>
    <w:styleLink w:val="WWNum301"/>
    <w:lvl w:ilvl="0">
      <w:start w:val="1"/>
      <w:numFmt w:val="upperRoman"/>
      <w:lvlText w:val="%1."/>
      <w:lvlJc w:val="left"/>
      <w:pPr>
        <w:ind w:left="1146"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nsid w:val="599D1C3E"/>
    <w:multiLevelType w:val="multilevel"/>
    <w:tmpl w:val="48C2CE80"/>
    <w:styleLink w:val="WWNum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6">
    <w:nsid w:val="5A79191F"/>
    <w:multiLevelType w:val="hybridMultilevel"/>
    <w:tmpl w:val="DFF07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BEB08B4"/>
    <w:multiLevelType w:val="multilevel"/>
    <w:tmpl w:val="03787042"/>
    <w:styleLink w:val="WWNum20"/>
    <w:lvl w:ilvl="0">
      <w:numFmt w:val="bullet"/>
      <w:lvlText w:val="-"/>
      <w:lvlJc w:val="left"/>
      <w:rPr>
        <w:rFonts w:eastAsia="Times New Roman" w:cs="Times New Roman"/>
        <w:b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8">
    <w:nsid w:val="5D3B765C"/>
    <w:multiLevelType w:val="multilevel"/>
    <w:tmpl w:val="DBA01C2A"/>
    <w:styleLink w:val="WWNum22"/>
    <w:lvl w:ilvl="0">
      <w:numFmt w:val="bullet"/>
      <w:lvlText w:val=""/>
      <w:lvlJc w:val="left"/>
      <w:rPr>
        <w:rFonts w:ascii="Symbol" w:hAnsi="Symbol"/>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9">
    <w:nsid w:val="5EB21474"/>
    <w:multiLevelType w:val="multilevel"/>
    <w:tmpl w:val="CA269116"/>
    <w:styleLink w:val="WWNum2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0">
    <w:nsid w:val="6005730E"/>
    <w:multiLevelType w:val="multilevel"/>
    <w:tmpl w:val="6E0ACE68"/>
    <w:styleLink w:val="WWNum16"/>
    <w:lvl w:ilvl="0">
      <w:numFmt w:val="bullet"/>
      <w:lvlText w:val="-"/>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1">
    <w:nsid w:val="622A2635"/>
    <w:multiLevelType w:val="multilevel"/>
    <w:tmpl w:val="CB946530"/>
    <w:styleLink w:val="WWNum261"/>
    <w:lvl w:ilvl="0">
      <w:numFmt w:val="bullet"/>
      <w:lvlText w:val=""/>
      <w:lvlJc w:val="left"/>
      <w:pPr>
        <w:ind w:left="900" w:hanging="360"/>
      </w:pPr>
      <w:rPr>
        <w:rFonts w:ascii="Symbol" w:hAnsi="Symbol"/>
      </w:rPr>
    </w:lvl>
    <w:lvl w:ilvl="1">
      <w:numFmt w:val="bullet"/>
      <w:lvlText w:val="o"/>
      <w:lvlJc w:val="left"/>
      <w:pPr>
        <w:ind w:left="1686" w:hanging="360"/>
      </w:pPr>
      <w:rPr>
        <w:rFonts w:ascii="Courier New" w:hAnsi="Courier New" w:cs="Courier New"/>
      </w:rPr>
    </w:lvl>
    <w:lvl w:ilvl="2">
      <w:numFmt w:val="bullet"/>
      <w:lvlText w:val=""/>
      <w:lvlJc w:val="left"/>
      <w:pPr>
        <w:ind w:left="2406" w:hanging="360"/>
      </w:pPr>
      <w:rPr>
        <w:rFonts w:ascii="Wingdings" w:hAnsi="Wingdings"/>
      </w:rPr>
    </w:lvl>
    <w:lvl w:ilvl="3">
      <w:numFmt w:val="bullet"/>
      <w:lvlText w:val=""/>
      <w:lvlJc w:val="left"/>
      <w:pPr>
        <w:ind w:left="3126" w:hanging="360"/>
      </w:pPr>
      <w:rPr>
        <w:rFonts w:ascii="Symbol" w:hAnsi="Symbol"/>
      </w:rPr>
    </w:lvl>
    <w:lvl w:ilvl="4">
      <w:numFmt w:val="bullet"/>
      <w:lvlText w:val="o"/>
      <w:lvlJc w:val="left"/>
      <w:pPr>
        <w:ind w:left="3846" w:hanging="360"/>
      </w:pPr>
      <w:rPr>
        <w:rFonts w:ascii="Courier New" w:hAnsi="Courier New" w:cs="Courier New"/>
      </w:rPr>
    </w:lvl>
    <w:lvl w:ilvl="5">
      <w:numFmt w:val="bullet"/>
      <w:lvlText w:val=""/>
      <w:lvlJc w:val="left"/>
      <w:pPr>
        <w:ind w:left="4566" w:hanging="360"/>
      </w:pPr>
      <w:rPr>
        <w:rFonts w:ascii="Wingdings" w:hAnsi="Wingdings"/>
      </w:rPr>
    </w:lvl>
    <w:lvl w:ilvl="6">
      <w:numFmt w:val="bullet"/>
      <w:lvlText w:val=""/>
      <w:lvlJc w:val="left"/>
      <w:pPr>
        <w:ind w:left="5286" w:hanging="360"/>
      </w:pPr>
      <w:rPr>
        <w:rFonts w:ascii="Symbol" w:hAnsi="Symbol"/>
      </w:rPr>
    </w:lvl>
    <w:lvl w:ilvl="7">
      <w:numFmt w:val="bullet"/>
      <w:lvlText w:val="o"/>
      <w:lvlJc w:val="left"/>
      <w:pPr>
        <w:ind w:left="6006" w:hanging="360"/>
      </w:pPr>
      <w:rPr>
        <w:rFonts w:ascii="Courier New" w:hAnsi="Courier New" w:cs="Courier New"/>
      </w:rPr>
    </w:lvl>
    <w:lvl w:ilvl="8">
      <w:numFmt w:val="bullet"/>
      <w:lvlText w:val=""/>
      <w:lvlJc w:val="left"/>
      <w:pPr>
        <w:ind w:left="6726" w:hanging="360"/>
      </w:pPr>
      <w:rPr>
        <w:rFonts w:ascii="Wingdings" w:hAnsi="Wingdings"/>
      </w:rPr>
    </w:lvl>
  </w:abstractNum>
  <w:abstractNum w:abstractNumId="62">
    <w:nsid w:val="624071F0"/>
    <w:multiLevelType w:val="multilevel"/>
    <w:tmpl w:val="837CBFC8"/>
    <w:styleLink w:val="WWNum222"/>
    <w:lvl w:ilvl="0">
      <w:numFmt w:val="bullet"/>
      <w:lvlText w:val=""/>
      <w:lvlJc w:val="left"/>
      <w:pPr>
        <w:ind w:left="720" w:hanging="360"/>
      </w:pPr>
      <w:rPr>
        <w:rFonts w:ascii="Symbol" w:hAnsi="Symbol"/>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nsid w:val="62565023"/>
    <w:multiLevelType w:val="hybridMultilevel"/>
    <w:tmpl w:val="8F1EFF12"/>
    <w:lvl w:ilvl="0" w:tplc="1BC25C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30753EE"/>
    <w:multiLevelType w:val="multilevel"/>
    <w:tmpl w:val="19260A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63C254BE"/>
    <w:multiLevelType w:val="hybridMultilevel"/>
    <w:tmpl w:val="A172F9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nsid w:val="643056C6"/>
    <w:multiLevelType w:val="multilevel"/>
    <w:tmpl w:val="6B680BD6"/>
    <w:styleLink w:val="WWNum2"/>
    <w:lvl w:ilvl="0">
      <w:numFmt w:val="bullet"/>
      <w:lvlText w:val="-"/>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7">
    <w:nsid w:val="69D55AE5"/>
    <w:multiLevelType w:val="hybridMultilevel"/>
    <w:tmpl w:val="3A346A24"/>
    <w:lvl w:ilvl="0" w:tplc="9F10B2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A6D3881"/>
    <w:multiLevelType w:val="multilevel"/>
    <w:tmpl w:val="F1062BDC"/>
    <w:styleLink w:val="WWNum6"/>
    <w:lvl w:ilvl="0">
      <w:numFmt w:val="bullet"/>
      <w:lvlText w:val="-"/>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9">
    <w:nsid w:val="6BF15DD9"/>
    <w:multiLevelType w:val="multilevel"/>
    <w:tmpl w:val="10DC10D8"/>
    <w:styleLink w:val="WWNum221"/>
    <w:lvl w:ilvl="0">
      <w:numFmt w:val="bullet"/>
      <w:lvlText w:val=""/>
      <w:lvlJc w:val="left"/>
      <w:pPr>
        <w:ind w:left="720" w:hanging="360"/>
      </w:pPr>
      <w:rPr>
        <w:rFonts w:ascii="Symbol" w:hAnsi="Symbol"/>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nsid w:val="6D5D6A5D"/>
    <w:multiLevelType w:val="multilevel"/>
    <w:tmpl w:val="609EF706"/>
    <w:styleLink w:val="WWNum91"/>
    <w:lvl w:ilvl="0">
      <w:numFmt w:val="bullet"/>
      <w:lvlText w:val=""/>
      <w:lvlJc w:val="left"/>
      <w:pPr>
        <w:ind w:left="778" w:hanging="360"/>
      </w:pPr>
      <w:rPr>
        <w:rFonts w:ascii="Symbol" w:hAnsi="Symbol"/>
      </w:rPr>
    </w:lvl>
    <w:lvl w:ilvl="1">
      <w:numFmt w:val="bullet"/>
      <w:lvlText w:val="o"/>
      <w:lvlJc w:val="left"/>
      <w:pPr>
        <w:ind w:left="1498" w:hanging="360"/>
      </w:pPr>
      <w:rPr>
        <w:rFonts w:ascii="Courier New" w:hAnsi="Courier New" w:cs="Courier New"/>
      </w:rPr>
    </w:lvl>
    <w:lvl w:ilvl="2">
      <w:numFmt w:val="bullet"/>
      <w:lvlText w:val=""/>
      <w:lvlJc w:val="left"/>
      <w:pPr>
        <w:ind w:left="2218" w:hanging="360"/>
      </w:pPr>
      <w:rPr>
        <w:rFonts w:ascii="Wingdings" w:hAnsi="Wingdings"/>
      </w:rPr>
    </w:lvl>
    <w:lvl w:ilvl="3">
      <w:numFmt w:val="bullet"/>
      <w:lvlText w:val=""/>
      <w:lvlJc w:val="left"/>
      <w:pPr>
        <w:ind w:left="2938" w:hanging="360"/>
      </w:pPr>
      <w:rPr>
        <w:rFonts w:ascii="Symbol" w:hAnsi="Symbol"/>
      </w:rPr>
    </w:lvl>
    <w:lvl w:ilvl="4">
      <w:numFmt w:val="bullet"/>
      <w:lvlText w:val="o"/>
      <w:lvlJc w:val="left"/>
      <w:pPr>
        <w:ind w:left="3658" w:hanging="360"/>
      </w:pPr>
      <w:rPr>
        <w:rFonts w:ascii="Courier New" w:hAnsi="Courier New" w:cs="Courier New"/>
      </w:rPr>
    </w:lvl>
    <w:lvl w:ilvl="5">
      <w:numFmt w:val="bullet"/>
      <w:lvlText w:val=""/>
      <w:lvlJc w:val="left"/>
      <w:pPr>
        <w:ind w:left="4378" w:hanging="360"/>
      </w:pPr>
      <w:rPr>
        <w:rFonts w:ascii="Wingdings" w:hAnsi="Wingdings"/>
      </w:rPr>
    </w:lvl>
    <w:lvl w:ilvl="6">
      <w:numFmt w:val="bullet"/>
      <w:lvlText w:val=""/>
      <w:lvlJc w:val="left"/>
      <w:pPr>
        <w:ind w:left="5098" w:hanging="360"/>
      </w:pPr>
      <w:rPr>
        <w:rFonts w:ascii="Symbol" w:hAnsi="Symbol"/>
      </w:rPr>
    </w:lvl>
    <w:lvl w:ilvl="7">
      <w:numFmt w:val="bullet"/>
      <w:lvlText w:val="o"/>
      <w:lvlJc w:val="left"/>
      <w:pPr>
        <w:ind w:left="5818" w:hanging="360"/>
      </w:pPr>
      <w:rPr>
        <w:rFonts w:ascii="Courier New" w:hAnsi="Courier New" w:cs="Courier New"/>
      </w:rPr>
    </w:lvl>
    <w:lvl w:ilvl="8">
      <w:numFmt w:val="bullet"/>
      <w:lvlText w:val=""/>
      <w:lvlJc w:val="left"/>
      <w:pPr>
        <w:ind w:left="6538" w:hanging="360"/>
      </w:pPr>
      <w:rPr>
        <w:rFonts w:ascii="Wingdings" w:hAnsi="Wingdings"/>
      </w:rPr>
    </w:lvl>
  </w:abstractNum>
  <w:abstractNum w:abstractNumId="71">
    <w:nsid w:val="70C6310E"/>
    <w:multiLevelType w:val="multilevel"/>
    <w:tmpl w:val="3E7C6EC8"/>
    <w:styleLink w:val="WWNum231"/>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72">
    <w:nsid w:val="7223054E"/>
    <w:multiLevelType w:val="hybridMultilevel"/>
    <w:tmpl w:val="7223054E"/>
    <w:lvl w:ilvl="0" w:tplc="5F2C97C0">
      <w:start w:val="1"/>
      <w:numFmt w:val="bullet"/>
      <w:lvlText w:val=""/>
      <w:lvlJc w:val="left"/>
      <w:pPr>
        <w:tabs>
          <w:tab w:val="num" w:pos="720"/>
        </w:tabs>
        <w:ind w:left="720" w:hanging="360"/>
      </w:pPr>
      <w:rPr>
        <w:rFonts w:ascii="Symbol" w:hAnsi="Symbol"/>
      </w:rPr>
    </w:lvl>
    <w:lvl w:ilvl="1" w:tplc="3C005EE8">
      <w:start w:val="1"/>
      <w:numFmt w:val="bullet"/>
      <w:lvlText w:val="o"/>
      <w:lvlJc w:val="left"/>
      <w:pPr>
        <w:tabs>
          <w:tab w:val="num" w:pos="1440"/>
        </w:tabs>
        <w:ind w:left="1440" w:hanging="360"/>
      </w:pPr>
      <w:rPr>
        <w:rFonts w:ascii="Courier New" w:hAnsi="Courier New"/>
      </w:rPr>
    </w:lvl>
    <w:lvl w:ilvl="2" w:tplc="7B944990">
      <w:start w:val="1"/>
      <w:numFmt w:val="bullet"/>
      <w:lvlText w:val=""/>
      <w:lvlJc w:val="left"/>
      <w:pPr>
        <w:tabs>
          <w:tab w:val="num" w:pos="2160"/>
        </w:tabs>
        <w:ind w:left="2160" w:hanging="360"/>
      </w:pPr>
      <w:rPr>
        <w:rFonts w:ascii="Wingdings" w:hAnsi="Wingdings"/>
      </w:rPr>
    </w:lvl>
    <w:lvl w:ilvl="3" w:tplc="863296FC">
      <w:start w:val="1"/>
      <w:numFmt w:val="bullet"/>
      <w:lvlText w:val=""/>
      <w:lvlJc w:val="left"/>
      <w:pPr>
        <w:tabs>
          <w:tab w:val="num" w:pos="2880"/>
        </w:tabs>
        <w:ind w:left="2880" w:hanging="360"/>
      </w:pPr>
      <w:rPr>
        <w:rFonts w:ascii="Symbol" w:hAnsi="Symbol"/>
      </w:rPr>
    </w:lvl>
    <w:lvl w:ilvl="4" w:tplc="E0F471BC">
      <w:start w:val="1"/>
      <w:numFmt w:val="bullet"/>
      <w:lvlText w:val="o"/>
      <w:lvlJc w:val="left"/>
      <w:pPr>
        <w:tabs>
          <w:tab w:val="num" w:pos="3600"/>
        </w:tabs>
        <w:ind w:left="3600" w:hanging="360"/>
      </w:pPr>
      <w:rPr>
        <w:rFonts w:ascii="Courier New" w:hAnsi="Courier New"/>
      </w:rPr>
    </w:lvl>
    <w:lvl w:ilvl="5" w:tplc="9E302C04">
      <w:start w:val="1"/>
      <w:numFmt w:val="bullet"/>
      <w:lvlText w:val=""/>
      <w:lvlJc w:val="left"/>
      <w:pPr>
        <w:tabs>
          <w:tab w:val="num" w:pos="4320"/>
        </w:tabs>
        <w:ind w:left="4320" w:hanging="360"/>
      </w:pPr>
      <w:rPr>
        <w:rFonts w:ascii="Wingdings" w:hAnsi="Wingdings"/>
      </w:rPr>
    </w:lvl>
    <w:lvl w:ilvl="6" w:tplc="F20698E2">
      <w:start w:val="1"/>
      <w:numFmt w:val="bullet"/>
      <w:lvlText w:val=""/>
      <w:lvlJc w:val="left"/>
      <w:pPr>
        <w:tabs>
          <w:tab w:val="num" w:pos="5040"/>
        </w:tabs>
        <w:ind w:left="5040" w:hanging="360"/>
      </w:pPr>
      <w:rPr>
        <w:rFonts w:ascii="Symbol" w:hAnsi="Symbol"/>
      </w:rPr>
    </w:lvl>
    <w:lvl w:ilvl="7" w:tplc="AD2ACDC6">
      <w:start w:val="1"/>
      <w:numFmt w:val="bullet"/>
      <w:lvlText w:val="o"/>
      <w:lvlJc w:val="left"/>
      <w:pPr>
        <w:tabs>
          <w:tab w:val="num" w:pos="5760"/>
        </w:tabs>
        <w:ind w:left="5760" w:hanging="360"/>
      </w:pPr>
      <w:rPr>
        <w:rFonts w:ascii="Courier New" w:hAnsi="Courier New"/>
      </w:rPr>
    </w:lvl>
    <w:lvl w:ilvl="8" w:tplc="B636E33A">
      <w:start w:val="1"/>
      <w:numFmt w:val="bullet"/>
      <w:lvlText w:val=""/>
      <w:lvlJc w:val="left"/>
      <w:pPr>
        <w:tabs>
          <w:tab w:val="num" w:pos="6480"/>
        </w:tabs>
        <w:ind w:left="6480" w:hanging="360"/>
      </w:pPr>
      <w:rPr>
        <w:rFonts w:ascii="Wingdings" w:hAnsi="Wingdings"/>
      </w:rPr>
    </w:lvl>
  </w:abstractNum>
  <w:abstractNum w:abstractNumId="73">
    <w:nsid w:val="72230610"/>
    <w:multiLevelType w:val="hybridMultilevel"/>
    <w:tmpl w:val="72230610"/>
    <w:lvl w:ilvl="0" w:tplc="263E9BA4">
      <w:start w:val="1"/>
      <w:numFmt w:val="bullet"/>
      <w:lvlText w:val=""/>
      <w:lvlJc w:val="left"/>
      <w:pPr>
        <w:ind w:left="720" w:hanging="360"/>
      </w:pPr>
      <w:rPr>
        <w:rFonts w:ascii="Symbol" w:hAnsi="Symbol"/>
      </w:rPr>
    </w:lvl>
    <w:lvl w:ilvl="1" w:tplc="78F4BB96">
      <w:start w:val="1"/>
      <w:numFmt w:val="bullet"/>
      <w:lvlText w:val="o"/>
      <w:lvlJc w:val="left"/>
      <w:pPr>
        <w:tabs>
          <w:tab w:val="num" w:pos="1440"/>
        </w:tabs>
        <w:ind w:left="1440" w:hanging="360"/>
      </w:pPr>
      <w:rPr>
        <w:rFonts w:ascii="Courier New" w:hAnsi="Courier New"/>
      </w:rPr>
    </w:lvl>
    <w:lvl w:ilvl="2" w:tplc="DF905912">
      <w:start w:val="1"/>
      <w:numFmt w:val="bullet"/>
      <w:lvlText w:val=""/>
      <w:lvlJc w:val="left"/>
      <w:pPr>
        <w:tabs>
          <w:tab w:val="num" w:pos="2160"/>
        </w:tabs>
        <w:ind w:left="2160" w:hanging="360"/>
      </w:pPr>
      <w:rPr>
        <w:rFonts w:ascii="Wingdings" w:hAnsi="Wingdings"/>
      </w:rPr>
    </w:lvl>
    <w:lvl w:ilvl="3" w:tplc="65A60FFE">
      <w:start w:val="1"/>
      <w:numFmt w:val="bullet"/>
      <w:lvlText w:val=""/>
      <w:lvlJc w:val="left"/>
      <w:pPr>
        <w:tabs>
          <w:tab w:val="num" w:pos="2880"/>
        </w:tabs>
        <w:ind w:left="2880" w:hanging="360"/>
      </w:pPr>
      <w:rPr>
        <w:rFonts w:ascii="Symbol" w:hAnsi="Symbol"/>
      </w:rPr>
    </w:lvl>
    <w:lvl w:ilvl="4" w:tplc="C57CE1DA">
      <w:start w:val="1"/>
      <w:numFmt w:val="bullet"/>
      <w:lvlText w:val="o"/>
      <w:lvlJc w:val="left"/>
      <w:pPr>
        <w:tabs>
          <w:tab w:val="num" w:pos="3600"/>
        </w:tabs>
        <w:ind w:left="3600" w:hanging="360"/>
      </w:pPr>
      <w:rPr>
        <w:rFonts w:ascii="Courier New" w:hAnsi="Courier New"/>
      </w:rPr>
    </w:lvl>
    <w:lvl w:ilvl="5" w:tplc="EFCABF4E">
      <w:start w:val="1"/>
      <w:numFmt w:val="bullet"/>
      <w:lvlText w:val=""/>
      <w:lvlJc w:val="left"/>
      <w:pPr>
        <w:tabs>
          <w:tab w:val="num" w:pos="4320"/>
        </w:tabs>
        <w:ind w:left="4320" w:hanging="360"/>
      </w:pPr>
      <w:rPr>
        <w:rFonts w:ascii="Wingdings" w:hAnsi="Wingdings"/>
      </w:rPr>
    </w:lvl>
    <w:lvl w:ilvl="6" w:tplc="CD3AD714">
      <w:start w:val="1"/>
      <w:numFmt w:val="bullet"/>
      <w:lvlText w:val=""/>
      <w:lvlJc w:val="left"/>
      <w:pPr>
        <w:tabs>
          <w:tab w:val="num" w:pos="5040"/>
        </w:tabs>
        <w:ind w:left="5040" w:hanging="360"/>
      </w:pPr>
      <w:rPr>
        <w:rFonts w:ascii="Symbol" w:hAnsi="Symbol"/>
      </w:rPr>
    </w:lvl>
    <w:lvl w:ilvl="7" w:tplc="CCDEF996">
      <w:start w:val="1"/>
      <w:numFmt w:val="bullet"/>
      <w:lvlText w:val="o"/>
      <w:lvlJc w:val="left"/>
      <w:pPr>
        <w:tabs>
          <w:tab w:val="num" w:pos="5760"/>
        </w:tabs>
        <w:ind w:left="5760" w:hanging="360"/>
      </w:pPr>
      <w:rPr>
        <w:rFonts w:ascii="Courier New" w:hAnsi="Courier New"/>
      </w:rPr>
    </w:lvl>
    <w:lvl w:ilvl="8" w:tplc="7FFEA3DE">
      <w:start w:val="1"/>
      <w:numFmt w:val="bullet"/>
      <w:lvlText w:val=""/>
      <w:lvlJc w:val="left"/>
      <w:pPr>
        <w:tabs>
          <w:tab w:val="num" w:pos="6480"/>
        </w:tabs>
        <w:ind w:left="6480" w:hanging="360"/>
      </w:pPr>
      <w:rPr>
        <w:rFonts w:ascii="Wingdings" w:hAnsi="Wingdings"/>
      </w:rPr>
    </w:lvl>
  </w:abstractNum>
  <w:abstractNum w:abstractNumId="74">
    <w:nsid w:val="7223061B"/>
    <w:multiLevelType w:val="hybridMultilevel"/>
    <w:tmpl w:val="7223061B"/>
    <w:lvl w:ilvl="0" w:tplc="74DC9A0A">
      <w:start w:val="1"/>
      <w:numFmt w:val="bullet"/>
      <w:lvlText w:val=""/>
      <w:lvlJc w:val="left"/>
      <w:pPr>
        <w:ind w:left="720" w:hanging="360"/>
      </w:pPr>
      <w:rPr>
        <w:rFonts w:ascii="Symbol" w:hAnsi="Symbol"/>
      </w:rPr>
    </w:lvl>
    <w:lvl w:ilvl="1" w:tplc="0F00E79E">
      <w:start w:val="1"/>
      <w:numFmt w:val="bullet"/>
      <w:lvlText w:val="o"/>
      <w:lvlJc w:val="left"/>
      <w:pPr>
        <w:tabs>
          <w:tab w:val="num" w:pos="1440"/>
        </w:tabs>
        <w:ind w:left="1440" w:hanging="360"/>
      </w:pPr>
      <w:rPr>
        <w:rFonts w:ascii="Courier New" w:hAnsi="Courier New"/>
      </w:rPr>
    </w:lvl>
    <w:lvl w:ilvl="2" w:tplc="38044076">
      <w:start w:val="1"/>
      <w:numFmt w:val="bullet"/>
      <w:lvlText w:val=""/>
      <w:lvlJc w:val="left"/>
      <w:pPr>
        <w:tabs>
          <w:tab w:val="num" w:pos="2160"/>
        </w:tabs>
        <w:ind w:left="2160" w:hanging="360"/>
      </w:pPr>
      <w:rPr>
        <w:rFonts w:ascii="Wingdings" w:hAnsi="Wingdings"/>
      </w:rPr>
    </w:lvl>
    <w:lvl w:ilvl="3" w:tplc="68E457DE">
      <w:start w:val="1"/>
      <w:numFmt w:val="bullet"/>
      <w:lvlText w:val=""/>
      <w:lvlJc w:val="left"/>
      <w:pPr>
        <w:tabs>
          <w:tab w:val="num" w:pos="2880"/>
        </w:tabs>
        <w:ind w:left="2880" w:hanging="360"/>
      </w:pPr>
      <w:rPr>
        <w:rFonts w:ascii="Symbol" w:hAnsi="Symbol"/>
      </w:rPr>
    </w:lvl>
    <w:lvl w:ilvl="4" w:tplc="32CC3984">
      <w:start w:val="1"/>
      <w:numFmt w:val="bullet"/>
      <w:lvlText w:val="o"/>
      <w:lvlJc w:val="left"/>
      <w:pPr>
        <w:tabs>
          <w:tab w:val="num" w:pos="3600"/>
        </w:tabs>
        <w:ind w:left="3600" w:hanging="360"/>
      </w:pPr>
      <w:rPr>
        <w:rFonts w:ascii="Courier New" w:hAnsi="Courier New"/>
      </w:rPr>
    </w:lvl>
    <w:lvl w:ilvl="5" w:tplc="09FC8B36">
      <w:start w:val="1"/>
      <w:numFmt w:val="bullet"/>
      <w:lvlText w:val=""/>
      <w:lvlJc w:val="left"/>
      <w:pPr>
        <w:tabs>
          <w:tab w:val="num" w:pos="4320"/>
        </w:tabs>
        <w:ind w:left="4320" w:hanging="360"/>
      </w:pPr>
      <w:rPr>
        <w:rFonts w:ascii="Wingdings" w:hAnsi="Wingdings"/>
      </w:rPr>
    </w:lvl>
    <w:lvl w:ilvl="6" w:tplc="0F20A3E4">
      <w:start w:val="1"/>
      <w:numFmt w:val="bullet"/>
      <w:lvlText w:val=""/>
      <w:lvlJc w:val="left"/>
      <w:pPr>
        <w:tabs>
          <w:tab w:val="num" w:pos="5040"/>
        </w:tabs>
        <w:ind w:left="5040" w:hanging="360"/>
      </w:pPr>
      <w:rPr>
        <w:rFonts w:ascii="Symbol" w:hAnsi="Symbol"/>
      </w:rPr>
    </w:lvl>
    <w:lvl w:ilvl="7" w:tplc="0872468A">
      <w:start w:val="1"/>
      <w:numFmt w:val="bullet"/>
      <w:lvlText w:val="o"/>
      <w:lvlJc w:val="left"/>
      <w:pPr>
        <w:tabs>
          <w:tab w:val="num" w:pos="5760"/>
        </w:tabs>
        <w:ind w:left="5760" w:hanging="360"/>
      </w:pPr>
      <w:rPr>
        <w:rFonts w:ascii="Courier New" w:hAnsi="Courier New"/>
      </w:rPr>
    </w:lvl>
    <w:lvl w:ilvl="8" w:tplc="A0E4BDE6">
      <w:start w:val="1"/>
      <w:numFmt w:val="bullet"/>
      <w:lvlText w:val=""/>
      <w:lvlJc w:val="left"/>
      <w:pPr>
        <w:tabs>
          <w:tab w:val="num" w:pos="6480"/>
        </w:tabs>
        <w:ind w:left="6480" w:hanging="360"/>
      </w:pPr>
      <w:rPr>
        <w:rFonts w:ascii="Wingdings" w:hAnsi="Wingdings"/>
      </w:rPr>
    </w:lvl>
  </w:abstractNum>
  <w:abstractNum w:abstractNumId="75">
    <w:nsid w:val="7223061C"/>
    <w:multiLevelType w:val="hybridMultilevel"/>
    <w:tmpl w:val="7223061C"/>
    <w:lvl w:ilvl="0" w:tplc="954C20D0">
      <w:start w:val="1"/>
      <w:numFmt w:val="bullet"/>
      <w:lvlText w:val=""/>
      <w:lvlJc w:val="left"/>
      <w:pPr>
        <w:ind w:left="720" w:hanging="360"/>
      </w:pPr>
      <w:rPr>
        <w:rFonts w:ascii="Symbol" w:hAnsi="Symbol"/>
      </w:rPr>
    </w:lvl>
    <w:lvl w:ilvl="1" w:tplc="21ECD260">
      <w:start w:val="1"/>
      <w:numFmt w:val="bullet"/>
      <w:lvlText w:val="o"/>
      <w:lvlJc w:val="left"/>
      <w:pPr>
        <w:tabs>
          <w:tab w:val="num" w:pos="1440"/>
        </w:tabs>
        <w:ind w:left="1440" w:hanging="360"/>
      </w:pPr>
      <w:rPr>
        <w:rFonts w:ascii="Courier New" w:hAnsi="Courier New"/>
      </w:rPr>
    </w:lvl>
    <w:lvl w:ilvl="2" w:tplc="39921BF0">
      <w:start w:val="1"/>
      <w:numFmt w:val="bullet"/>
      <w:lvlText w:val=""/>
      <w:lvlJc w:val="left"/>
      <w:pPr>
        <w:tabs>
          <w:tab w:val="num" w:pos="2160"/>
        </w:tabs>
        <w:ind w:left="2160" w:hanging="360"/>
      </w:pPr>
      <w:rPr>
        <w:rFonts w:ascii="Wingdings" w:hAnsi="Wingdings"/>
      </w:rPr>
    </w:lvl>
    <w:lvl w:ilvl="3" w:tplc="104A3796">
      <w:start w:val="1"/>
      <w:numFmt w:val="bullet"/>
      <w:lvlText w:val=""/>
      <w:lvlJc w:val="left"/>
      <w:pPr>
        <w:tabs>
          <w:tab w:val="num" w:pos="2880"/>
        </w:tabs>
        <w:ind w:left="2880" w:hanging="360"/>
      </w:pPr>
      <w:rPr>
        <w:rFonts w:ascii="Symbol" w:hAnsi="Symbol"/>
      </w:rPr>
    </w:lvl>
    <w:lvl w:ilvl="4" w:tplc="D8F4CB00">
      <w:start w:val="1"/>
      <w:numFmt w:val="bullet"/>
      <w:lvlText w:val="o"/>
      <w:lvlJc w:val="left"/>
      <w:pPr>
        <w:tabs>
          <w:tab w:val="num" w:pos="3600"/>
        </w:tabs>
        <w:ind w:left="3600" w:hanging="360"/>
      </w:pPr>
      <w:rPr>
        <w:rFonts w:ascii="Courier New" w:hAnsi="Courier New"/>
      </w:rPr>
    </w:lvl>
    <w:lvl w:ilvl="5" w:tplc="51743E24">
      <w:start w:val="1"/>
      <w:numFmt w:val="bullet"/>
      <w:lvlText w:val=""/>
      <w:lvlJc w:val="left"/>
      <w:pPr>
        <w:tabs>
          <w:tab w:val="num" w:pos="4320"/>
        </w:tabs>
        <w:ind w:left="4320" w:hanging="360"/>
      </w:pPr>
      <w:rPr>
        <w:rFonts w:ascii="Wingdings" w:hAnsi="Wingdings"/>
      </w:rPr>
    </w:lvl>
    <w:lvl w:ilvl="6" w:tplc="61CAFA7E">
      <w:start w:val="1"/>
      <w:numFmt w:val="bullet"/>
      <w:lvlText w:val=""/>
      <w:lvlJc w:val="left"/>
      <w:pPr>
        <w:tabs>
          <w:tab w:val="num" w:pos="5040"/>
        </w:tabs>
        <w:ind w:left="5040" w:hanging="360"/>
      </w:pPr>
      <w:rPr>
        <w:rFonts w:ascii="Symbol" w:hAnsi="Symbol"/>
      </w:rPr>
    </w:lvl>
    <w:lvl w:ilvl="7" w:tplc="55040842">
      <w:start w:val="1"/>
      <w:numFmt w:val="bullet"/>
      <w:lvlText w:val="o"/>
      <w:lvlJc w:val="left"/>
      <w:pPr>
        <w:tabs>
          <w:tab w:val="num" w:pos="5760"/>
        </w:tabs>
        <w:ind w:left="5760" w:hanging="360"/>
      </w:pPr>
      <w:rPr>
        <w:rFonts w:ascii="Courier New" w:hAnsi="Courier New"/>
      </w:rPr>
    </w:lvl>
    <w:lvl w:ilvl="8" w:tplc="1C3206C4">
      <w:start w:val="1"/>
      <w:numFmt w:val="bullet"/>
      <w:lvlText w:val=""/>
      <w:lvlJc w:val="left"/>
      <w:pPr>
        <w:tabs>
          <w:tab w:val="num" w:pos="6480"/>
        </w:tabs>
        <w:ind w:left="6480" w:hanging="360"/>
      </w:pPr>
      <w:rPr>
        <w:rFonts w:ascii="Wingdings" w:hAnsi="Wingdings"/>
      </w:rPr>
    </w:lvl>
  </w:abstractNum>
  <w:abstractNum w:abstractNumId="76">
    <w:nsid w:val="72230634"/>
    <w:multiLevelType w:val="hybridMultilevel"/>
    <w:tmpl w:val="72230634"/>
    <w:lvl w:ilvl="0" w:tplc="724C3E72">
      <w:start w:val="1"/>
      <w:numFmt w:val="bullet"/>
      <w:lvlText w:val=""/>
      <w:lvlJc w:val="left"/>
      <w:pPr>
        <w:ind w:left="720" w:hanging="360"/>
      </w:pPr>
      <w:rPr>
        <w:rFonts w:ascii="Symbol" w:hAnsi="Symbol"/>
      </w:rPr>
    </w:lvl>
    <w:lvl w:ilvl="1" w:tplc="23143606">
      <w:start w:val="1"/>
      <w:numFmt w:val="bullet"/>
      <w:lvlText w:val="o"/>
      <w:lvlJc w:val="left"/>
      <w:pPr>
        <w:tabs>
          <w:tab w:val="num" w:pos="1440"/>
        </w:tabs>
        <w:ind w:left="1440" w:hanging="360"/>
      </w:pPr>
      <w:rPr>
        <w:rFonts w:ascii="Courier New" w:hAnsi="Courier New"/>
      </w:rPr>
    </w:lvl>
    <w:lvl w:ilvl="2" w:tplc="DC041552">
      <w:start w:val="1"/>
      <w:numFmt w:val="bullet"/>
      <w:lvlText w:val=""/>
      <w:lvlJc w:val="left"/>
      <w:pPr>
        <w:tabs>
          <w:tab w:val="num" w:pos="2160"/>
        </w:tabs>
        <w:ind w:left="2160" w:hanging="360"/>
      </w:pPr>
      <w:rPr>
        <w:rFonts w:ascii="Wingdings" w:hAnsi="Wingdings"/>
      </w:rPr>
    </w:lvl>
    <w:lvl w:ilvl="3" w:tplc="3D544530">
      <w:start w:val="1"/>
      <w:numFmt w:val="bullet"/>
      <w:lvlText w:val=""/>
      <w:lvlJc w:val="left"/>
      <w:pPr>
        <w:tabs>
          <w:tab w:val="num" w:pos="2880"/>
        </w:tabs>
        <w:ind w:left="2880" w:hanging="360"/>
      </w:pPr>
      <w:rPr>
        <w:rFonts w:ascii="Symbol" w:hAnsi="Symbol"/>
      </w:rPr>
    </w:lvl>
    <w:lvl w:ilvl="4" w:tplc="9B0CC0A2">
      <w:start w:val="1"/>
      <w:numFmt w:val="bullet"/>
      <w:lvlText w:val="o"/>
      <w:lvlJc w:val="left"/>
      <w:pPr>
        <w:tabs>
          <w:tab w:val="num" w:pos="3600"/>
        </w:tabs>
        <w:ind w:left="3600" w:hanging="360"/>
      </w:pPr>
      <w:rPr>
        <w:rFonts w:ascii="Courier New" w:hAnsi="Courier New"/>
      </w:rPr>
    </w:lvl>
    <w:lvl w:ilvl="5" w:tplc="A7A26EE2">
      <w:start w:val="1"/>
      <w:numFmt w:val="bullet"/>
      <w:lvlText w:val=""/>
      <w:lvlJc w:val="left"/>
      <w:pPr>
        <w:tabs>
          <w:tab w:val="num" w:pos="4320"/>
        </w:tabs>
        <w:ind w:left="4320" w:hanging="360"/>
      </w:pPr>
      <w:rPr>
        <w:rFonts w:ascii="Wingdings" w:hAnsi="Wingdings"/>
      </w:rPr>
    </w:lvl>
    <w:lvl w:ilvl="6" w:tplc="6E063356">
      <w:start w:val="1"/>
      <w:numFmt w:val="bullet"/>
      <w:lvlText w:val=""/>
      <w:lvlJc w:val="left"/>
      <w:pPr>
        <w:tabs>
          <w:tab w:val="num" w:pos="5040"/>
        </w:tabs>
        <w:ind w:left="5040" w:hanging="360"/>
      </w:pPr>
      <w:rPr>
        <w:rFonts w:ascii="Symbol" w:hAnsi="Symbol"/>
      </w:rPr>
    </w:lvl>
    <w:lvl w:ilvl="7" w:tplc="B96E5928">
      <w:start w:val="1"/>
      <w:numFmt w:val="bullet"/>
      <w:lvlText w:val="o"/>
      <w:lvlJc w:val="left"/>
      <w:pPr>
        <w:tabs>
          <w:tab w:val="num" w:pos="5760"/>
        </w:tabs>
        <w:ind w:left="5760" w:hanging="360"/>
      </w:pPr>
      <w:rPr>
        <w:rFonts w:ascii="Courier New" w:hAnsi="Courier New"/>
      </w:rPr>
    </w:lvl>
    <w:lvl w:ilvl="8" w:tplc="DFF41EEE">
      <w:start w:val="1"/>
      <w:numFmt w:val="bullet"/>
      <w:lvlText w:val=""/>
      <w:lvlJc w:val="left"/>
      <w:pPr>
        <w:tabs>
          <w:tab w:val="num" w:pos="6480"/>
        </w:tabs>
        <w:ind w:left="6480" w:hanging="360"/>
      </w:pPr>
      <w:rPr>
        <w:rFonts w:ascii="Wingdings" w:hAnsi="Wingdings"/>
      </w:rPr>
    </w:lvl>
  </w:abstractNum>
  <w:abstractNum w:abstractNumId="77">
    <w:nsid w:val="72230647"/>
    <w:multiLevelType w:val="hybridMultilevel"/>
    <w:tmpl w:val="72230647"/>
    <w:lvl w:ilvl="0" w:tplc="8FCCECF6">
      <w:start w:val="1"/>
      <w:numFmt w:val="bullet"/>
      <w:lvlText w:val=""/>
      <w:lvlJc w:val="left"/>
      <w:pPr>
        <w:ind w:left="720" w:hanging="360"/>
      </w:pPr>
      <w:rPr>
        <w:rFonts w:ascii="Symbol" w:hAnsi="Symbol"/>
      </w:rPr>
    </w:lvl>
    <w:lvl w:ilvl="1" w:tplc="2092E904">
      <w:start w:val="1"/>
      <w:numFmt w:val="bullet"/>
      <w:lvlText w:val="o"/>
      <w:lvlJc w:val="left"/>
      <w:pPr>
        <w:tabs>
          <w:tab w:val="num" w:pos="1440"/>
        </w:tabs>
        <w:ind w:left="1440" w:hanging="360"/>
      </w:pPr>
      <w:rPr>
        <w:rFonts w:ascii="Courier New" w:hAnsi="Courier New"/>
      </w:rPr>
    </w:lvl>
    <w:lvl w:ilvl="2" w:tplc="EC2623E6">
      <w:start w:val="1"/>
      <w:numFmt w:val="bullet"/>
      <w:lvlText w:val=""/>
      <w:lvlJc w:val="left"/>
      <w:pPr>
        <w:tabs>
          <w:tab w:val="num" w:pos="2160"/>
        </w:tabs>
        <w:ind w:left="2160" w:hanging="360"/>
      </w:pPr>
      <w:rPr>
        <w:rFonts w:ascii="Wingdings" w:hAnsi="Wingdings"/>
      </w:rPr>
    </w:lvl>
    <w:lvl w:ilvl="3" w:tplc="7D6C20C8">
      <w:start w:val="1"/>
      <w:numFmt w:val="bullet"/>
      <w:lvlText w:val=""/>
      <w:lvlJc w:val="left"/>
      <w:pPr>
        <w:tabs>
          <w:tab w:val="num" w:pos="2880"/>
        </w:tabs>
        <w:ind w:left="2880" w:hanging="360"/>
      </w:pPr>
      <w:rPr>
        <w:rFonts w:ascii="Symbol" w:hAnsi="Symbol"/>
      </w:rPr>
    </w:lvl>
    <w:lvl w:ilvl="4" w:tplc="1032C47C">
      <w:start w:val="1"/>
      <w:numFmt w:val="bullet"/>
      <w:lvlText w:val="o"/>
      <w:lvlJc w:val="left"/>
      <w:pPr>
        <w:tabs>
          <w:tab w:val="num" w:pos="3600"/>
        </w:tabs>
        <w:ind w:left="3600" w:hanging="360"/>
      </w:pPr>
      <w:rPr>
        <w:rFonts w:ascii="Courier New" w:hAnsi="Courier New"/>
      </w:rPr>
    </w:lvl>
    <w:lvl w:ilvl="5" w:tplc="70CA8B5E">
      <w:start w:val="1"/>
      <w:numFmt w:val="bullet"/>
      <w:lvlText w:val=""/>
      <w:lvlJc w:val="left"/>
      <w:pPr>
        <w:tabs>
          <w:tab w:val="num" w:pos="4320"/>
        </w:tabs>
        <w:ind w:left="4320" w:hanging="360"/>
      </w:pPr>
      <w:rPr>
        <w:rFonts w:ascii="Wingdings" w:hAnsi="Wingdings"/>
      </w:rPr>
    </w:lvl>
    <w:lvl w:ilvl="6" w:tplc="21CA8408">
      <w:start w:val="1"/>
      <w:numFmt w:val="bullet"/>
      <w:lvlText w:val=""/>
      <w:lvlJc w:val="left"/>
      <w:pPr>
        <w:tabs>
          <w:tab w:val="num" w:pos="5040"/>
        </w:tabs>
        <w:ind w:left="5040" w:hanging="360"/>
      </w:pPr>
      <w:rPr>
        <w:rFonts w:ascii="Symbol" w:hAnsi="Symbol"/>
      </w:rPr>
    </w:lvl>
    <w:lvl w:ilvl="7" w:tplc="BD20E870">
      <w:start w:val="1"/>
      <w:numFmt w:val="bullet"/>
      <w:lvlText w:val="o"/>
      <w:lvlJc w:val="left"/>
      <w:pPr>
        <w:tabs>
          <w:tab w:val="num" w:pos="5760"/>
        </w:tabs>
        <w:ind w:left="5760" w:hanging="360"/>
      </w:pPr>
      <w:rPr>
        <w:rFonts w:ascii="Courier New" w:hAnsi="Courier New"/>
      </w:rPr>
    </w:lvl>
    <w:lvl w:ilvl="8" w:tplc="D132ED00">
      <w:start w:val="1"/>
      <w:numFmt w:val="bullet"/>
      <w:lvlText w:val=""/>
      <w:lvlJc w:val="left"/>
      <w:pPr>
        <w:tabs>
          <w:tab w:val="num" w:pos="6480"/>
        </w:tabs>
        <w:ind w:left="6480" w:hanging="360"/>
      </w:pPr>
      <w:rPr>
        <w:rFonts w:ascii="Wingdings" w:hAnsi="Wingdings"/>
      </w:rPr>
    </w:lvl>
  </w:abstractNum>
  <w:abstractNum w:abstractNumId="78">
    <w:nsid w:val="7223064B"/>
    <w:multiLevelType w:val="hybridMultilevel"/>
    <w:tmpl w:val="7223064B"/>
    <w:lvl w:ilvl="0" w:tplc="5D9247A8">
      <w:start w:val="1"/>
      <w:numFmt w:val="bullet"/>
      <w:lvlText w:val=""/>
      <w:lvlJc w:val="left"/>
      <w:pPr>
        <w:ind w:left="720" w:hanging="360"/>
      </w:pPr>
      <w:rPr>
        <w:rFonts w:ascii="Symbol" w:hAnsi="Symbol"/>
      </w:rPr>
    </w:lvl>
    <w:lvl w:ilvl="1" w:tplc="50E4B56E">
      <w:start w:val="1"/>
      <w:numFmt w:val="bullet"/>
      <w:lvlText w:val="o"/>
      <w:lvlJc w:val="left"/>
      <w:pPr>
        <w:tabs>
          <w:tab w:val="num" w:pos="1440"/>
        </w:tabs>
        <w:ind w:left="1440" w:hanging="360"/>
      </w:pPr>
      <w:rPr>
        <w:rFonts w:ascii="Courier New" w:hAnsi="Courier New"/>
      </w:rPr>
    </w:lvl>
    <w:lvl w:ilvl="2" w:tplc="D278D6F4">
      <w:start w:val="1"/>
      <w:numFmt w:val="bullet"/>
      <w:lvlText w:val=""/>
      <w:lvlJc w:val="left"/>
      <w:pPr>
        <w:tabs>
          <w:tab w:val="num" w:pos="2160"/>
        </w:tabs>
        <w:ind w:left="2160" w:hanging="360"/>
      </w:pPr>
      <w:rPr>
        <w:rFonts w:ascii="Wingdings" w:hAnsi="Wingdings"/>
      </w:rPr>
    </w:lvl>
    <w:lvl w:ilvl="3" w:tplc="FDF4257C">
      <w:start w:val="1"/>
      <w:numFmt w:val="bullet"/>
      <w:lvlText w:val=""/>
      <w:lvlJc w:val="left"/>
      <w:pPr>
        <w:tabs>
          <w:tab w:val="num" w:pos="2880"/>
        </w:tabs>
        <w:ind w:left="2880" w:hanging="360"/>
      </w:pPr>
      <w:rPr>
        <w:rFonts w:ascii="Symbol" w:hAnsi="Symbol"/>
      </w:rPr>
    </w:lvl>
    <w:lvl w:ilvl="4" w:tplc="77661E42">
      <w:start w:val="1"/>
      <w:numFmt w:val="bullet"/>
      <w:lvlText w:val="o"/>
      <w:lvlJc w:val="left"/>
      <w:pPr>
        <w:tabs>
          <w:tab w:val="num" w:pos="3600"/>
        </w:tabs>
        <w:ind w:left="3600" w:hanging="360"/>
      </w:pPr>
      <w:rPr>
        <w:rFonts w:ascii="Courier New" w:hAnsi="Courier New"/>
      </w:rPr>
    </w:lvl>
    <w:lvl w:ilvl="5" w:tplc="1FBA735C">
      <w:start w:val="1"/>
      <w:numFmt w:val="bullet"/>
      <w:lvlText w:val=""/>
      <w:lvlJc w:val="left"/>
      <w:pPr>
        <w:tabs>
          <w:tab w:val="num" w:pos="4320"/>
        </w:tabs>
        <w:ind w:left="4320" w:hanging="360"/>
      </w:pPr>
      <w:rPr>
        <w:rFonts w:ascii="Wingdings" w:hAnsi="Wingdings"/>
      </w:rPr>
    </w:lvl>
    <w:lvl w:ilvl="6" w:tplc="007AB2E6">
      <w:start w:val="1"/>
      <w:numFmt w:val="bullet"/>
      <w:lvlText w:val=""/>
      <w:lvlJc w:val="left"/>
      <w:pPr>
        <w:tabs>
          <w:tab w:val="num" w:pos="5040"/>
        </w:tabs>
        <w:ind w:left="5040" w:hanging="360"/>
      </w:pPr>
      <w:rPr>
        <w:rFonts w:ascii="Symbol" w:hAnsi="Symbol"/>
      </w:rPr>
    </w:lvl>
    <w:lvl w:ilvl="7" w:tplc="CAA6F640">
      <w:start w:val="1"/>
      <w:numFmt w:val="bullet"/>
      <w:lvlText w:val="o"/>
      <w:lvlJc w:val="left"/>
      <w:pPr>
        <w:tabs>
          <w:tab w:val="num" w:pos="5760"/>
        </w:tabs>
        <w:ind w:left="5760" w:hanging="360"/>
      </w:pPr>
      <w:rPr>
        <w:rFonts w:ascii="Courier New" w:hAnsi="Courier New"/>
      </w:rPr>
    </w:lvl>
    <w:lvl w:ilvl="8" w:tplc="8492633A">
      <w:start w:val="1"/>
      <w:numFmt w:val="bullet"/>
      <w:lvlText w:val=""/>
      <w:lvlJc w:val="left"/>
      <w:pPr>
        <w:tabs>
          <w:tab w:val="num" w:pos="6480"/>
        </w:tabs>
        <w:ind w:left="6480" w:hanging="360"/>
      </w:pPr>
      <w:rPr>
        <w:rFonts w:ascii="Wingdings" w:hAnsi="Wingdings"/>
      </w:rPr>
    </w:lvl>
  </w:abstractNum>
  <w:abstractNum w:abstractNumId="79">
    <w:nsid w:val="72230658"/>
    <w:multiLevelType w:val="hybridMultilevel"/>
    <w:tmpl w:val="72230658"/>
    <w:lvl w:ilvl="0" w:tplc="1FB489A2">
      <w:start w:val="1"/>
      <w:numFmt w:val="bullet"/>
      <w:lvlText w:val=""/>
      <w:lvlJc w:val="left"/>
      <w:pPr>
        <w:ind w:left="720" w:hanging="360"/>
      </w:pPr>
      <w:rPr>
        <w:rFonts w:ascii="Symbol" w:hAnsi="Symbol"/>
      </w:rPr>
    </w:lvl>
    <w:lvl w:ilvl="1" w:tplc="AD52B2FC">
      <w:start w:val="1"/>
      <w:numFmt w:val="bullet"/>
      <w:lvlText w:val="o"/>
      <w:lvlJc w:val="left"/>
      <w:pPr>
        <w:tabs>
          <w:tab w:val="num" w:pos="1440"/>
        </w:tabs>
        <w:ind w:left="1440" w:hanging="360"/>
      </w:pPr>
      <w:rPr>
        <w:rFonts w:ascii="Courier New" w:hAnsi="Courier New"/>
      </w:rPr>
    </w:lvl>
    <w:lvl w:ilvl="2" w:tplc="DBD63A42">
      <w:start w:val="1"/>
      <w:numFmt w:val="bullet"/>
      <w:lvlText w:val=""/>
      <w:lvlJc w:val="left"/>
      <w:pPr>
        <w:tabs>
          <w:tab w:val="num" w:pos="2160"/>
        </w:tabs>
        <w:ind w:left="2160" w:hanging="360"/>
      </w:pPr>
      <w:rPr>
        <w:rFonts w:ascii="Wingdings" w:hAnsi="Wingdings"/>
      </w:rPr>
    </w:lvl>
    <w:lvl w:ilvl="3" w:tplc="40A68EC4">
      <w:start w:val="1"/>
      <w:numFmt w:val="bullet"/>
      <w:lvlText w:val=""/>
      <w:lvlJc w:val="left"/>
      <w:pPr>
        <w:tabs>
          <w:tab w:val="num" w:pos="2880"/>
        </w:tabs>
        <w:ind w:left="2880" w:hanging="360"/>
      </w:pPr>
      <w:rPr>
        <w:rFonts w:ascii="Symbol" w:hAnsi="Symbol"/>
      </w:rPr>
    </w:lvl>
    <w:lvl w:ilvl="4" w:tplc="68A020BE">
      <w:start w:val="1"/>
      <w:numFmt w:val="bullet"/>
      <w:lvlText w:val="o"/>
      <w:lvlJc w:val="left"/>
      <w:pPr>
        <w:tabs>
          <w:tab w:val="num" w:pos="3600"/>
        </w:tabs>
        <w:ind w:left="3600" w:hanging="360"/>
      </w:pPr>
      <w:rPr>
        <w:rFonts w:ascii="Courier New" w:hAnsi="Courier New"/>
      </w:rPr>
    </w:lvl>
    <w:lvl w:ilvl="5" w:tplc="A498E222">
      <w:start w:val="1"/>
      <w:numFmt w:val="bullet"/>
      <w:lvlText w:val=""/>
      <w:lvlJc w:val="left"/>
      <w:pPr>
        <w:tabs>
          <w:tab w:val="num" w:pos="4320"/>
        </w:tabs>
        <w:ind w:left="4320" w:hanging="360"/>
      </w:pPr>
      <w:rPr>
        <w:rFonts w:ascii="Wingdings" w:hAnsi="Wingdings"/>
      </w:rPr>
    </w:lvl>
    <w:lvl w:ilvl="6" w:tplc="ADF65DE6">
      <w:start w:val="1"/>
      <w:numFmt w:val="bullet"/>
      <w:lvlText w:val=""/>
      <w:lvlJc w:val="left"/>
      <w:pPr>
        <w:tabs>
          <w:tab w:val="num" w:pos="5040"/>
        </w:tabs>
        <w:ind w:left="5040" w:hanging="360"/>
      </w:pPr>
      <w:rPr>
        <w:rFonts w:ascii="Symbol" w:hAnsi="Symbol"/>
      </w:rPr>
    </w:lvl>
    <w:lvl w:ilvl="7" w:tplc="CD6C5F98">
      <w:start w:val="1"/>
      <w:numFmt w:val="bullet"/>
      <w:lvlText w:val="o"/>
      <w:lvlJc w:val="left"/>
      <w:pPr>
        <w:tabs>
          <w:tab w:val="num" w:pos="5760"/>
        </w:tabs>
        <w:ind w:left="5760" w:hanging="360"/>
      </w:pPr>
      <w:rPr>
        <w:rFonts w:ascii="Courier New" w:hAnsi="Courier New"/>
      </w:rPr>
    </w:lvl>
    <w:lvl w:ilvl="8" w:tplc="DA8A8898">
      <w:start w:val="1"/>
      <w:numFmt w:val="bullet"/>
      <w:lvlText w:val=""/>
      <w:lvlJc w:val="left"/>
      <w:pPr>
        <w:tabs>
          <w:tab w:val="num" w:pos="6480"/>
        </w:tabs>
        <w:ind w:left="6480" w:hanging="360"/>
      </w:pPr>
      <w:rPr>
        <w:rFonts w:ascii="Wingdings" w:hAnsi="Wingdings"/>
      </w:rPr>
    </w:lvl>
  </w:abstractNum>
  <w:abstractNum w:abstractNumId="80">
    <w:nsid w:val="72230659"/>
    <w:multiLevelType w:val="hybridMultilevel"/>
    <w:tmpl w:val="72230659"/>
    <w:lvl w:ilvl="0" w:tplc="C870E6D4">
      <w:start w:val="1"/>
      <w:numFmt w:val="bullet"/>
      <w:lvlText w:val=""/>
      <w:lvlJc w:val="left"/>
      <w:pPr>
        <w:ind w:left="720" w:hanging="360"/>
      </w:pPr>
      <w:rPr>
        <w:rFonts w:ascii="Symbol" w:hAnsi="Symbol"/>
      </w:rPr>
    </w:lvl>
    <w:lvl w:ilvl="1" w:tplc="19C03742">
      <w:start w:val="1"/>
      <w:numFmt w:val="bullet"/>
      <w:lvlText w:val="o"/>
      <w:lvlJc w:val="left"/>
      <w:pPr>
        <w:tabs>
          <w:tab w:val="num" w:pos="1440"/>
        </w:tabs>
        <w:ind w:left="1440" w:hanging="360"/>
      </w:pPr>
      <w:rPr>
        <w:rFonts w:ascii="Courier New" w:hAnsi="Courier New"/>
      </w:rPr>
    </w:lvl>
    <w:lvl w:ilvl="2" w:tplc="46C6B012">
      <w:start w:val="1"/>
      <w:numFmt w:val="bullet"/>
      <w:lvlText w:val=""/>
      <w:lvlJc w:val="left"/>
      <w:pPr>
        <w:tabs>
          <w:tab w:val="num" w:pos="2160"/>
        </w:tabs>
        <w:ind w:left="2160" w:hanging="360"/>
      </w:pPr>
      <w:rPr>
        <w:rFonts w:ascii="Wingdings" w:hAnsi="Wingdings"/>
      </w:rPr>
    </w:lvl>
    <w:lvl w:ilvl="3" w:tplc="13CE0542">
      <w:start w:val="1"/>
      <w:numFmt w:val="bullet"/>
      <w:lvlText w:val=""/>
      <w:lvlJc w:val="left"/>
      <w:pPr>
        <w:tabs>
          <w:tab w:val="num" w:pos="2880"/>
        </w:tabs>
        <w:ind w:left="2880" w:hanging="360"/>
      </w:pPr>
      <w:rPr>
        <w:rFonts w:ascii="Symbol" w:hAnsi="Symbol"/>
      </w:rPr>
    </w:lvl>
    <w:lvl w:ilvl="4" w:tplc="16786B18">
      <w:start w:val="1"/>
      <w:numFmt w:val="bullet"/>
      <w:lvlText w:val="o"/>
      <w:lvlJc w:val="left"/>
      <w:pPr>
        <w:tabs>
          <w:tab w:val="num" w:pos="3600"/>
        </w:tabs>
        <w:ind w:left="3600" w:hanging="360"/>
      </w:pPr>
      <w:rPr>
        <w:rFonts w:ascii="Courier New" w:hAnsi="Courier New"/>
      </w:rPr>
    </w:lvl>
    <w:lvl w:ilvl="5" w:tplc="F8822B88">
      <w:start w:val="1"/>
      <w:numFmt w:val="bullet"/>
      <w:lvlText w:val=""/>
      <w:lvlJc w:val="left"/>
      <w:pPr>
        <w:tabs>
          <w:tab w:val="num" w:pos="4320"/>
        </w:tabs>
        <w:ind w:left="4320" w:hanging="360"/>
      </w:pPr>
      <w:rPr>
        <w:rFonts w:ascii="Wingdings" w:hAnsi="Wingdings"/>
      </w:rPr>
    </w:lvl>
    <w:lvl w:ilvl="6" w:tplc="72441480">
      <w:start w:val="1"/>
      <w:numFmt w:val="bullet"/>
      <w:lvlText w:val=""/>
      <w:lvlJc w:val="left"/>
      <w:pPr>
        <w:tabs>
          <w:tab w:val="num" w:pos="5040"/>
        </w:tabs>
        <w:ind w:left="5040" w:hanging="360"/>
      </w:pPr>
      <w:rPr>
        <w:rFonts w:ascii="Symbol" w:hAnsi="Symbol"/>
      </w:rPr>
    </w:lvl>
    <w:lvl w:ilvl="7" w:tplc="CB4235D0">
      <w:start w:val="1"/>
      <w:numFmt w:val="bullet"/>
      <w:lvlText w:val="o"/>
      <w:lvlJc w:val="left"/>
      <w:pPr>
        <w:tabs>
          <w:tab w:val="num" w:pos="5760"/>
        </w:tabs>
        <w:ind w:left="5760" w:hanging="360"/>
      </w:pPr>
      <w:rPr>
        <w:rFonts w:ascii="Courier New" w:hAnsi="Courier New"/>
      </w:rPr>
    </w:lvl>
    <w:lvl w:ilvl="8" w:tplc="B6B857E4">
      <w:start w:val="1"/>
      <w:numFmt w:val="bullet"/>
      <w:lvlText w:val=""/>
      <w:lvlJc w:val="left"/>
      <w:pPr>
        <w:tabs>
          <w:tab w:val="num" w:pos="6480"/>
        </w:tabs>
        <w:ind w:left="6480" w:hanging="360"/>
      </w:pPr>
      <w:rPr>
        <w:rFonts w:ascii="Wingdings" w:hAnsi="Wingdings"/>
      </w:rPr>
    </w:lvl>
  </w:abstractNum>
  <w:abstractNum w:abstractNumId="81">
    <w:nsid w:val="7223065E"/>
    <w:multiLevelType w:val="hybridMultilevel"/>
    <w:tmpl w:val="7223065E"/>
    <w:lvl w:ilvl="0" w:tplc="22DCC8E6">
      <w:start w:val="1"/>
      <w:numFmt w:val="bullet"/>
      <w:lvlText w:val=""/>
      <w:lvlJc w:val="left"/>
      <w:pPr>
        <w:ind w:left="720" w:hanging="360"/>
      </w:pPr>
      <w:rPr>
        <w:rFonts w:ascii="Symbol" w:hAnsi="Symbol"/>
      </w:rPr>
    </w:lvl>
    <w:lvl w:ilvl="1" w:tplc="CBD2ED14">
      <w:start w:val="1"/>
      <w:numFmt w:val="bullet"/>
      <w:lvlText w:val="o"/>
      <w:lvlJc w:val="left"/>
      <w:pPr>
        <w:tabs>
          <w:tab w:val="num" w:pos="1440"/>
        </w:tabs>
        <w:ind w:left="1440" w:hanging="360"/>
      </w:pPr>
      <w:rPr>
        <w:rFonts w:ascii="Courier New" w:hAnsi="Courier New"/>
      </w:rPr>
    </w:lvl>
    <w:lvl w:ilvl="2" w:tplc="C622A606">
      <w:start w:val="1"/>
      <w:numFmt w:val="bullet"/>
      <w:lvlText w:val=""/>
      <w:lvlJc w:val="left"/>
      <w:pPr>
        <w:tabs>
          <w:tab w:val="num" w:pos="2160"/>
        </w:tabs>
        <w:ind w:left="2160" w:hanging="360"/>
      </w:pPr>
      <w:rPr>
        <w:rFonts w:ascii="Wingdings" w:hAnsi="Wingdings"/>
      </w:rPr>
    </w:lvl>
    <w:lvl w:ilvl="3" w:tplc="B5760976">
      <w:start w:val="1"/>
      <w:numFmt w:val="bullet"/>
      <w:lvlText w:val=""/>
      <w:lvlJc w:val="left"/>
      <w:pPr>
        <w:tabs>
          <w:tab w:val="num" w:pos="2880"/>
        </w:tabs>
        <w:ind w:left="2880" w:hanging="360"/>
      </w:pPr>
      <w:rPr>
        <w:rFonts w:ascii="Symbol" w:hAnsi="Symbol"/>
      </w:rPr>
    </w:lvl>
    <w:lvl w:ilvl="4" w:tplc="50147B76">
      <w:start w:val="1"/>
      <w:numFmt w:val="bullet"/>
      <w:lvlText w:val="o"/>
      <w:lvlJc w:val="left"/>
      <w:pPr>
        <w:tabs>
          <w:tab w:val="num" w:pos="3600"/>
        </w:tabs>
        <w:ind w:left="3600" w:hanging="360"/>
      </w:pPr>
      <w:rPr>
        <w:rFonts w:ascii="Courier New" w:hAnsi="Courier New"/>
      </w:rPr>
    </w:lvl>
    <w:lvl w:ilvl="5" w:tplc="E990C74E">
      <w:start w:val="1"/>
      <w:numFmt w:val="bullet"/>
      <w:lvlText w:val=""/>
      <w:lvlJc w:val="left"/>
      <w:pPr>
        <w:tabs>
          <w:tab w:val="num" w:pos="4320"/>
        </w:tabs>
        <w:ind w:left="4320" w:hanging="360"/>
      </w:pPr>
      <w:rPr>
        <w:rFonts w:ascii="Wingdings" w:hAnsi="Wingdings"/>
      </w:rPr>
    </w:lvl>
    <w:lvl w:ilvl="6" w:tplc="A4F61FAE">
      <w:start w:val="1"/>
      <w:numFmt w:val="bullet"/>
      <w:lvlText w:val=""/>
      <w:lvlJc w:val="left"/>
      <w:pPr>
        <w:tabs>
          <w:tab w:val="num" w:pos="5040"/>
        </w:tabs>
        <w:ind w:left="5040" w:hanging="360"/>
      </w:pPr>
      <w:rPr>
        <w:rFonts w:ascii="Symbol" w:hAnsi="Symbol"/>
      </w:rPr>
    </w:lvl>
    <w:lvl w:ilvl="7" w:tplc="E1EA4ADC">
      <w:start w:val="1"/>
      <w:numFmt w:val="bullet"/>
      <w:lvlText w:val="o"/>
      <w:lvlJc w:val="left"/>
      <w:pPr>
        <w:tabs>
          <w:tab w:val="num" w:pos="5760"/>
        </w:tabs>
        <w:ind w:left="5760" w:hanging="360"/>
      </w:pPr>
      <w:rPr>
        <w:rFonts w:ascii="Courier New" w:hAnsi="Courier New"/>
      </w:rPr>
    </w:lvl>
    <w:lvl w:ilvl="8" w:tplc="397E1518">
      <w:start w:val="1"/>
      <w:numFmt w:val="bullet"/>
      <w:lvlText w:val=""/>
      <w:lvlJc w:val="left"/>
      <w:pPr>
        <w:tabs>
          <w:tab w:val="num" w:pos="6480"/>
        </w:tabs>
        <w:ind w:left="6480" w:hanging="360"/>
      </w:pPr>
      <w:rPr>
        <w:rFonts w:ascii="Wingdings" w:hAnsi="Wingdings"/>
      </w:rPr>
    </w:lvl>
  </w:abstractNum>
  <w:abstractNum w:abstractNumId="82">
    <w:nsid w:val="7223065F"/>
    <w:multiLevelType w:val="hybridMultilevel"/>
    <w:tmpl w:val="7223065F"/>
    <w:lvl w:ilvl="0" w:tplc="F8EACE68">
      <w:start w:val="1"/>
      <w:numFmt w:val="bullet"/>
      <w:lvlText w:val=""/>
      <w:lvlJc w:val="left"/>
      <w:pPr>
        <w:ind w:left="720" w:hanging="360"/>
      </w:pPr>
      <w:rPr>
        <w:rFonts w:ascii="Symbol" w:hAnsi="Symbol"/>
      </w:rPr>
    </w:lvl>
    <w:lvl w:ilvl="1" w:tplc="FD868BD2">
      <w:start w:val="1"/>
      <w:numFmt w:val="bullet"/>
      <w:lvlText w:val="o"/>
      <w:lvlJc w:val="left"/>
      <w:pPr>
        <w:tabs>
          <w:tab w:val="num" w:pos="1440"/>
        </w:tabs>
        <w:ind w:left="1440" w:hanging="360"/>
      </w:pPr>
      <w:rPr>
        <w:rFonts w:ascii="Courier New" w:hAnsi="Courier New"/>
      </w:rPr>
    </w:lvl>
    <w:lvl w:ilvl="2" w:tplc="63A648FC">
      <w:start w:val="1"/>
      <w:numFmt w:val="bullet"/>
      <w:lvlText w:val=""/>
      <w:lvlJc w:val="left"/>
      <w:pPr>
        <w:tabs>
          <w:tab w:val="num" w:pos="2160"/>
        </w:tabs>
        <w:ind w:left="2160" w:hanging="360"/>
      </w:pPr>
      <w:rPr>
        <w:rFonts w:ascii="Wingdings" w:hAnsi="Wingdings"/>
      </w:rPr>
    </w:lvl>
    <w:lvl w:ilvl="3" w:tplc="5A0AB6AC">
      <w:start w:val="1"/>
      <w:numFmt w:val="bullet"/>
      <w:lvlText w:val=""/>
      <w:lvlJc w:val="left"/>
      <w:pPr>
        <w:tabs>
          <w:tab w:val="num" w:pos="2880"/>
        </w:tabs>
        <w:ind w:left="2880" w:hanging="360"/>
      </w:pPr>
      <w:rPr>
        <w:rFonts w:ascii="Symbol" w:hAnsi="Symbol"/>
      </w:rPr>
    </w:lvl>
    <w:lvl w:ilvl="4" w:tplc="5C046676">
      <w:start w:val="1"/>
      <w:numFmt w:val="bullet"/>
      <w:lvlText w:val="o"/>
      <w:lvlJc w:val="left"/>
      <w:pPr>
        <w:tabs>
          <w:tab w:val="num" w:pos="3600"/>
        </w:tabs>
        <w:ind w:left="3600" w:hanging="360"/>
      </w:pPr>
      <w:rPr>
        <w:rFonts w:ascii="Courier New" w:hAnsi="Courier New"/>
      </w:rPr>
    </w:lvl>
    <w:lvl w:ilvl="5" w:tplc="147C2784">
      <w:start w:val="1"/>
      <w:numFmt w:val="bullet"/>
      <w:lvlText w:val=""/>
      <w:lvlJc w:val="left"/>
      <w:pPr>
        <w:tabs>
          <w:tab w:val="num" w:pos="4320"/>
        </w:tabs>
        <w:ind w:left="4320" w:hanging="360"/>
      </w:pPr>
      <w:rPr>
        <w:rFonts w:ascii="Wingdings" w:hAnsi="Wingdings"/>
      </w:rPr>
    </w:lvl>
    <w:lvl w:ilvl="6" w:tplc="3FAAE73A">
      <w:start w:val="1"/>
      <w:numFmt w:val="bullet"/>
      <w:lvlText w:val=""/>
      <w:lvlJc w:val="left"/>
      <w:pPr>
        <w:tabs>
          <w:tab w:val="num" w:pos="5040"/>
        </w:tabs>
        <w:ind w:left="5040" w:hanging="360"/>
      </w:pPr>
      <w:rPr>
        <w:rFonts w:ascii="Symbol" w:hAnsi="Symbol"/>
      </w:rPr>
    </w:lvl>
    <w:lvl w:ilvl="7" w:tplc="2D0A4228">
      <w:start w:val="1"/>
      <w:numFmt w:val="bullet"/>
      <w:lvlText w:val="o"/>
      <w:lvlJc w:val="left"/>
      <w:pPr>
        <w:tabs>
          <w:tab w:val="num" w:pos="5760"/>
        </w:tabs>
        <w:ind w:left="5760" w:hanging="360"/>
      </w:pPr>
      <w:rPr>
        <w:rFonts w:ascii="Courier New" w:hAnsi="Courier New"/>
      </w:rPr>
    </w:lvl>
    <w:lvl w:ilvl="8" w:tplc="60DE92E0">
      <w:start w:val="1"/>
      <w:numFmt w:val="bullet"/>
      <w:lvlText w:val=""/>
      <w:lvlJc w:val="left"/>
      <w:pPr>
        <w:tabs>
          <w:tab w:val="num" w:pos="6480"/>
        </w:tabs>
        <w:ind w:left="6480" w:hanging="360"/>
      </w:pPr>
      <w:rPr>
        <w:rFonts w:ascii="Wingdings" w:hAnsi="Wingdings"/>
      </w:rPr>
    </w:lvl>
  </w:abstractNum>
  <w:abstractNum w:abstractNumId="83">
    <w:nsid w:val="72230685"/>
    <w:multiLevelType w:val="hybridMultilevel"/>
    <w:tmpl w:val="72230685"/>
    <w:lvl w:ilvl="0" w:tplc="3AB80414">
      <w:start w:val="1"/>
      <w:numFmt w:val="bullet"/>
      <w:lvlText w:val=""/>
      <w:lvlJc w:val="left"/>
      <w:pPr>
        <w:ind w:left="720" w:hanging="360"/>
      </w:pPr>
      <w:rPr>
        <w:rFonts w:ascii="Symbol" w:hAnsi="Symbol"/>
      </w:rPr>
    </w:lvl>
    <w:lvl w:ilvl="1" w:tplc="CB204610">
      <w:start w:val="1"/>
      <w:numFmt w:val="bullet"/>
      <w:lvlText w:val="o"/>
      <w:lvlJc w:val="left"/>
      <w:pPr>
        <w:tabs>
          <w:tab w:val="num" w:pos="1440"/>
        </w:tabs>
        <w:ind w:left="1440" w:hanging="360"/>
      </w:pPr>
      <w:rPr>
        <w:rFonts w:ascii="Courier New" w:hAnsi="Courier New"/>
      </w:rPr>
    </w:lvl>
    <w:lvl w:ilvl="2" w:tplc="2D683F22">
      <w:start w:val="1"/>
      <w:numFmt w:val="bullet"/>
      <w:lvlText w:val=""/>
      <w:lvlJc w:val="left"/>
      <w:pPr>
        <w:tabs>
          <w:tab w:val="num" w:pos="2160"/>
        </w:tabs>
        <w:ind w:left="2160" w:hanging="360"/>
      </w:pPr>
      <w:rPr>
        <w:rFonts w:ascii="Wingdings" w:hAnsi="Wingdings"/>
      </w:rPr>
    </w:lvl>
    <w:lvl w:ilvl="3" w:tplc="83F60D3E">
      <w:start w:val="1"/>
      <w:numFmt w:val="bullet"/>
      <w:lvlText w:val=""/>
      <w:lvlJc w:val="left"/>
      <w:pPr>
        <w:tabs>
          <w:tab w:val="num" w:pos="2880"/>
        </w:tabs>
        <w:ind w:left="2880" w:hanging="360"/>
      </w:pPr>
      <w:rPr>
        <w:rFonts w:ascii="Symbol" w:hAnsi="Symbol"/>
      </w:rPr>
    </w:lvl>
    <w:lvl w:ilvl="4" w:tplc="45765302">
      <w:start w:val="1"/>
      <w:numFmt w:val="bullet"/>
      <w:lvlText w:val="o"/>
      <w:lvlJc w:val="left"/>
      <w:pPr>
        <w:tabs>
          <w:tab w:val="num" w:pos="3600"/>
        </w:tabs>
        <w:ind w:left="3600" w:hanging="360"/>
      </w:pPr>
      <w:rPr>
        <w:rFonts w:ascii="Courier New" w:hAnsi="Courier New"/>
      </w:rPr>
    </w:lvl>
    <w:lvl w:ilvl="5" w:tplc="C7826AF2">
      <w:start w:val="1"/>
      <w:numFmt w:val="bullet"/>
      <w:lvlText w:val=""/>
      <w:lvlJc w:val="left"/>
      <w:pPr>
        <w:tabs>
          <w:tab w:val="num" w:pos="4320"/>
        </w:tabs>
        <w:ind w:left="4320" w:hanging="360"/>
      </w:pPr>
      <w:rPr>
        <w:rFonts w:ascii="Wingdings" w:hAnsi="Wingdings"/>
      </w:rPr>
    </w:lvl>
    <w:lvl w:ilvl="6" w:tplc="279CDFA6">
      <w:start w:val="1"/>
      <w:numFmt w:val="bullet"/>
      <w:lvlText w:val=""/>
      <w:lvlJc w:val="left"/>
      <w:pPr>
        <w:tabs>
          <w:tab w:val="num" w:pos="5040"/>
        </w:tabs>
        <w:ind w:left="5040" w:hanging="360"/>
      </w:pPr>
      <w:rPr>
        <w:rFonts w:ascii="Symbol" w:hAnsi="Symbol"/>
      </w:rPr>
    </w:lvl>
    <w:lvl w:ilvl="7" w:tplc="709EF8C0">
      <w:start w:val="1"/>
      <w:numFmt w:val="bullet"/>
      <w:lvlText w:val="o"/>
      <w:lvlJc w:val="left"/>
      <w:pPr>
        <w:tabs>
          <w:tab w:val="num" w:pos="5760"/>
        </w:tabs>
        <w:ind w:left="5760" w:hanging="360"/>
      </w:pPr>
      <w:rPr>
        <w:rFonts w:ascii="Courier New" w:hAnsi="Courier New"/>
      </w:rPr>
    </w:lvl>
    <w:lvl w:ilvl="8" w:tplc="6462588A">
      <w:start w:val="1"/>
      <w:numFmt w:val="bullet"/>
      <w:lvlText w:val=""/>
      <w:lvlJc w:val="left"/>
      <w:pPr>
        <w:tabs>
          <w:tab w:val="num" w:pos="6480"/>
        </w:tabs>
        <w:ind w:left="6480" w:hanging="360"/>
      </w:pPr>
      <w:rPr>
        <w:rFonts w:ascii="Wingdings" w:hAnsi="Wingdings"/>
      </w:rPr>
    </w:lvl>
  </w:abstractNum>
  <w:abstractNum w:abstractNumId="84">
    <w:nsid w:val="7223068A"/>
    <w:multiLevelType w:val="hybridMultilevel"/>
    <w:tmpl w:val="7223068A"/>
    <w:lvl w:ilvl="0" w:tplc="F6D4B05C">
      <w:start w:val="1"/>
      <w:numFmt w:val="bullet"/>
      <w:lvlText w:val=""/>
      <w:lvlJc w:val="left"/>
      <w:pPr>
        <w:ind w:left="720" w:hanging="360"/>
      </w:pPr>
      <w:rPr>
        <w:rFonts w:ascii="Symbol" w:hAnsi="Symbol"/>
      </w:rPr>
    </w:lvl>
    <w:lvl w:ilvl="1" w:tplc="417474F0">
      <w:start w:val="1"/>
      <w:numFmt w:val="bullet"/>
      <w:lvlText w:val="o"/>
      <w:lvlJc w:val="left"/>
      <w:pPr>
        <w:tabs>
          <w:tab w:val="num" w:pos="1440"/>
        </w:tabs>
        <w:ind w:left="1440" w:hanging="360"/>
      </w:pPr>
      <w:rPr>
        <w:rFonts w:ascii="Courier New" w:hAnsi="Courier New"/>
      </w:rPr>
    </w:lvl>
    <w:lvl w:ilvl="2" w:tplc="BDFE62A6">
      <w:start w:val="1"/>
      <w:numFmt w:val="bullet"/>
      <w:lvlText w:val=""/>
      <w:lvlJc w:val="left"/>
      <w:pPr>
        <w:tabs>
          <w:tab w:val="num" w:pos="2160"/>
        </w:tabs>
        <w:ind w:left="2160" w:hanging="360"/>
      </w:pPr>
      <w:rPr>
        <w:rFonts w:ascii="Wingdings" w:hAnsi="Wingdings"/>
      </w:rPr>
    </w:lvl>
    <w:lvl w:ilvl="3" w:tplc="FEB65528">
      <w:start w:val="1"/>
      <w:numFmt w:val="bullet"/>
      <w:lvlText w:val=""/>
      <w:lvlJc w:val="left"/>
      <w:pPr>
        <w:tabs>
          <w:tab w:val="num" w:pos="2880"/>
        </w:tabs>
        <w:ind w:left="2880" w:hanging="360"/>
      </w:pPr>
      <w:rPr>
        <w:rFonts w:ascii="Symbol" w:hAnsi="Symbol"/>
      </w:rPr>
    </w:lvl>
    <w:lvl w:ilvl="4" w:tplc="5B2AAF54">
      <w:start w:val="1"/>
      <w:numFmt w:val="bullet"/>
      <w:lvlText w:val="o"/>
      <w:lvlJc w:val="left"/>
      <w:pPr>
        <w:tabs>
          <w:tab w:val="num" w:pos="3600"/>
        </w:tabs>
        <w:ind w:left="3600" w:hanging="360"/>
      </w:pPr>
      <w:rPr>
        <w:rFonts w:ascii="Courier New" w:hAnsi="Courier New"/>
      </w:rPr>
    </w:lvl>
    <w:lvl w:ilvl="5" w:tplc="D71E52BC">
      <w:start w:val="1"/>
      <w:numFmt w:val="bullet"/>
      <w:lvlText w:val=""/>
      <w:lvlJc w:val="left"/>
      <w:pPr>
        <w:tabs>
          <w:tab w:val="num" w:pos="4320"/>
        </w:tabs>
        <w:ind w:left="4320" w:hanging="360"/>
      </w:pPr>
      <w:rPr>
        <w:rFonts w:ascii="Wingdings" w:hAnsi="Wingdings"/>
      </w:rPr>
    </w:lvl>
    <w:lvl w:ilvl="6" w:tplc="5A3C3E34">
      <w:start w:val="1"/>
      <w:numFmt w:val="bullet"/>
      <w:lvlText w:val=""/>
      <w:lvlJc w:val="left"/>
      <w:pPr>
        <w:tabs>
          <w:tab w:val="num" w:pos="5040"/>
        </w:tabs>
        <w:ind w:left="5040" w:hanging="360"/>
      </w:pPr>
      <w:rPr>
        <w:rFonts w:ascii="Symbol" w:hAnsi="Symbol"/>
      </w:rPr>
    </w:lvl>
    <w:lvl w:ilvl="7" w:tplc="BD981FE0">
      <w:start w:val="1"/>
      <w:numFmt w:val="bullet"/>
      <w:lvlText w:val="o"/>
      <w:lvlJc w:val="left"/>
      <w:pPr>
        <w:tabs>
          <w:tab w:val="num" w:pos="5760"/>
        </w:tabs>
        <w:ind w:left="5760" w:hanging="360"/>
      </w:pPr>
      <w:rPr>
        <w:rFonts w:ascii="Courier New" w:hAnsi="Courier New"/>
      </w:rPr>
    </w:lvl>
    <w:lvl w:ilvl="8" w:tplc="15C45A92">
      <w:start w:val="1"/>
      <w:numFmt w:val="bullet"/>
      <w:lvlText w:val=""/>
      <w:lvlJc w:val="left"/>
      <w:pPr>
        <w:tabs>
          <w:tab w:val="num" w:pos="6480"/>
        </w:tabs>
        <w:ind w:left="6480" w:hanging="360"/>
      </w:pPr>
      <w:rPr>
        <w:rFonts w:ascii="Wingdings" w:hAnsi="Wingdings"/>
      </w:rPr>
    </w:lvl>
  </w:abstractNum>
  <w:abstractNum w:abstractNumId="85">
    <w:nsid w:val="74472360"/>
    <w:multiLevelType w:val="multilevel"/>
    <w:tmpl w:val="9F726BB6"/>
    <w:styleLink w:val="WWNum191"/>
    <w:lvl w:ilvl="0">
      <w:numFmt w:val="bullet"/>
      <w:lvlText w:val=""/>
      <w:lvlJc w:val="left"/>
      <w:pPr>
        <w:ind w:left="720" w:hanging="360"/>
      </w:pPr>
      <w:rPr>
        <w:rFonts w:ascii="Symbol" w:hAnsi="Symbol"/>
      </w:rPr>
    </w:lvl>
    <w:lvl w:ilvl="1">
      <w:numFmt w:val="bullet"/>
      <w:lvlText w:val="•"/>
      <w:lvlJc w:val="left"/>
      <w:pPr>
        <w:ind w:left="1800" w:hanging="720"/>
      </w:pPr>
      <w:rPr>
        <w:rFonts w:ascii="Times New Roman" w:eastAsia="Times New Roman"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6">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7">
    <w:nsid w:val="777D4D6F"/>
    <w:multiLevelType w:val="multilevel"/>
    <w:tmpl w:val="CBCAA572"/>
    <w:styleLink w:val="WWNum7"/>
    <w:lvl w:ilvl="0">
      <w:numFmt w:val="bullet"/>
      <w:lvlText w:val="-"/>
      <w:lvlJc w:val="left"/>
      <w:rPr>
        <w:rFonts w:eastAsia="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8">
    <w:nsid w:val="78C57A26"/>
    <w:multiLevelType w:val="multilevel"/>
    <w:tmpl w:val="D06076F2"/>
    <w:styleLink w:val="WWNum19"/>
    <w:lvl w:ilvl="0">
      <w:numFmt w:val="bullet"/>
      <w:lvlText w:val=""/>
      <w:lvlJc w:val="left"/>
      <w:rPr>
        <w:rFonts w:ascii="Symbol" w:hAnsi="Symbol"/>
      </w:rPr>
    </w:lvl>
    <w:lvl w:ilvl="1">
      <w:numFmt w:val="bullet"/>
      <w:lvlText w:val="•"/>
      <w:lvlJc w:val="left"/>
      <w:rPr>
        <w:rFonts w:eastAsia="Times New Roman"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9">
    <w:nsid w:val="7B523B01"/>
    <w:multiLevelType w:val="hybridMultilevel"/>
    <w:tmpl w:val="5ACE2D94"/>
    <w:lvl w:ilvl="0" w:tplc="EEAE1372">
      <w:start w:val="1"/>
      <w:numFmt w:val="decimal"/>
      <w:lvlText w:val="%1."/>
      <w:lvlJc w:val="left"/>
      <w:pPr>
        <w:ind w:left="720" w:hanging="360"/>
      </w:pPr>
      <w:rPr>
        <w:rFonts w:eastAsia="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BEB352A"/>
    <w:multiLevelType w:val="hybridMultilevel"/>
    <w:tmpl w:val="70CCDCB8"/>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1">
    <w:nsid w:val="7C3C4A8F"/>
    <w:multiLevelType w:val="multilevel"/>
    <w:tmpl w:val="31D8814C"/>
    <w:styleLink w:val="WWNum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2">
    <w:nsid w:val="7EB53355"/>
    <w:multiLevelType w:val="multilevel"/>
    <w:tmpl w:val="F15875E8"/>
    <w:styleLink w:val="WWNum2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rPr>
        <w:rFonts w:eastAsia="Times New Roman" w:cs="Times New Roman"/>
        <w:b/>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3">
    <w:nsid w:val="7EF42E1F"/>
    <w:multiLevelType w:val="multilevel"/>
    <w:tmpl w:val="3AE495D4"/>
    <w:styleLink w:val="WWNum1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0"/>
  </w:num>
  <w:num w:numId="2">
    <w:abstractNumId w:val="66"/>
  </w:num>
  <w:num w:numId="3">
    <w:abstractNumId w:val="38"/>
  </w:num>
  <w:num w:numId="4">
    <w:abstractNumId w:val="36"/>
  </w:num>
  <w:num w:numId="5">
    <w:abstractNumId w:val="45"/>
  </w:num>
  <w:num w:numId="6">
    <w:abstractNumId w:val="68"/>
  </w:num>
  <w:num w:numId="7">
    <w:abstractNumId w:val="87"/>
  </w:num>
  <w:num w:numId="8">
    <w:abstractNumId w:val="53"/>
  </w:num>
  <w:num w:numId="9">
    <w:abstractNumId w:val="55"/>
  </w:num>
  <w:num w:numId="10">
    <w:abstractNumId w:val="35"/>
  </w:num>
  <w:num w:numId="11">
    <w:abstractNumId w:val="49"/>
  </w:num>
  <w:num w:numId="12">
    <w:abstractNumId w:val="12"/>
  </w:num>
  <w:num w:numId="13">
    <w:abstractNumId w:val="33"/>
  </w:num>
  <w:num w:numId="14">
    <w:abstractNumId w:val="34"/>
  </w:num>
  <w:num w:numId="15">
    <w:abstractNumId w:val="19"/>
  </w:num>
  <w:num w:numId="16">
    <w:abstractNumId w:val="60"/>
  </w:num>
  <w:num w:numId="17">
    <w:abstractNumId w:val="93"/>
  </w:num>
  <w:num w:numId="18">
    <w:abstractNumId w:val="29"/>
  </w:num>
  <w:num w:numId="19">
    <w:abstractNumId w:val="88"/>
  </w:num>
  <w:num w:numId="20">
    <w:abstractNumId w:val="57"/>
  </w:num>
  <w:num w:numId="21">
    <w:abstractNumId w:val="8"/>
  </w:num>
  <w:num w:numId="22">
    <w:abstractNumId w:val="58"/>
  </w:num>
  <w:num w:numId="23">
    <w:abstractNumId w:val="91"/>
  </w:num>
  <w:num w:numId="24">
    <w:abstractNumId w:val="51"/>
  </w:num>
  <w:num w:numId="25">
    <w:abstractNumId w:val="23"/>
  </w:num>
  <w:num w:numId="26">
    <w:abstractNumId w:val="27"/>
  </w:num>
  <w:num w:numId="27">
    <w:abstractNumId w:val="9"/>
  </w:num>
  <w:num w:numId="28">
    <w:abstractNumId w:val="92"/>
  </w:num>
  <w:num w:numId="29">
    <w:abstractNumId w:val="59"/>
  </w:num>
  <w:num w:numId="30">
    <w:abstractNumId w:val="28"/>
  </w:num>
  <w:num w:numId="31">
    <w:abstractNumId w:val="51"/>
  </w:num>
  <w:num w:numId="32">
    <w:abstractNumId w:val="27"/>
  </w:num>
  <w:num w:numId="33">
    <w:abstractNumId w:val="9"/>
  </w:num>
  <w:num w:numId="34">
    <w:abstractNumId w:val="59"/>
    <w:lvlOverride w:ilvl="0">
      <w:startOverride w:val="1"/>
    </w:lvlOverride>
  </w:num>
  <w:num w:numId="35">
    <w:abstractNumId w:val="23"/>
    <w:lvlOverride w:ilvl="0">
      <w:startOverride w:val="1"/>
    </w:lvlOverride>
  </w:num>
  <w:num w:numId="36">
    <w:abstractNumId w:val="92"/>
    <w:lvlOverride w:ilvl="0">
      <w:startOverride w:val="1"/>
    </w:lvlOverride>
  </w:num>
  <w:num w:numId="37">
    <w:abstractNumId w:val="28"/>
    <w:lvlOverride w:ilvl="0">
      <w:startOverride w:val="1"/>
    </w:lvlOverride>
  </w:num>
  <w:num w:numId="38">
    <w:abstractNumId w:val="86"/>
  </w:num>
  <w:num w:numId="39">
    <w:abstractNumId w:val="24"/>
  </w:num>
  <w:num w:numId="40">
    <w:abstractNumId w:val="16"/>
  </w:num>
  <w:num w:numId="41">
    <w:abstractNumId w:val="26"/>
  </w:num>
  <w:num w:numId="42">
    <w:abstractNumId w:val="3"/>
  </w:num>
  <w:num w:numId="43">
    <w:abstractNumId w:val="65"/>
  </w:num>
  <w:num w:numId="44">
    <w:abstractNumId w:val="89"/>
  </w:num>
  <w:num w:numId="45">
    <w:abstractNumId w:val="67"/>
  </w:num>
  <w:num w:numId="46">
    <w:abstractNumId w:val="73"/>
  </w:num>
  <w:num w:numId="47">
    <w:abstractNumId w:val="74"/>
  </w:num>
  <w:num w:numId="48">
    <w:abstractNumId w:val="75"/>
  </w:num>
  <w:num w:numId="49">
    <w:abstractNumId w:val="76"/>
  </w:num>
  <w:num w:numId="50">
    <w:abstractNumId w:val="77"/>
  </w:num>
  <w:num w:numId="51">
    <w:abstractNumId w:val="78"/>
  </w:num>
  <w:num w:numId="52">
    <w:abstractNumId w:val="79"/>
  </w:num>
  <w:num w:numId="53">
    <w:abstractNumId w:val="80"/>
  </w:num>
  <w:num w:numId="54">
    <w:abstractNumId w:val="81"/>
  </w:num>
  <w:num w:numId="55">
    <w:abstractNumId w:val="82"/>
  </w:num>
  <w:num w:numId="56">
    <w:abstractNumId w:val="63"/>
  </w:num>
  <w:num w:numId="57">
    <w:abstractNumId w:val="37"/>
  </w:num>
  <w:num w:numId="58">
    <w:abstractNumId w:val="42"/>
  </w:num>
  <w:num w:numId="59">
    <w:abstractNumId w:val="56"/>
  </w:num>
  <w:num w:numId="60">
    <w:abstractNumId w:val="90"/>
  </w:num>
  <w:num w:numId="61">
    <w:abstractNumId w:val="40"/>
  </w:num>
  <w:num w:numId="62">
    <w:abstractNumId w:val="83"/>
  </w:num>
  <w:num w:numId="63">
    <w:abstractNumId w:val="84"/>
  </w:num>
  <w:num w:numId="64">
    <w:abstractNumId w:val="43"/>
  </w:num>
  <w:num w:numId="65">
    <w:abstractNumId w:val="7"/>
  </w:num>
  <w:num w:numId="66">
    <w:abstractNumId w:val="10"/>
  </w:num>
  <w:num w:numId="67">
    <w:abstractNumId w:val="69"/>
  </w:num>
  <w:num w:numId="68">
    <w:abstractNumId w:val="44"/>
  </w:num>
  <w:num w:numId="69">
    <w:abstractNumId w:val="14"/>
  </w:num>
  <w:num w:numId="70">
    <w:abstractNumId w:val="4"/>
  </w:num>
  <w:num w:numId="71">
    <w:abstractNumId w:val="25"/>
  </w:num>
  <w:num w:numId="72">
    <w:abstractNumId w:val="46"/>
  </w:num>
  <w:num w:numId="73">
    <w:abstractNumId w:val="11"/>
  </w:num>
  <w:num w:numId="74">
    <w:abstractNumId w:val="52"/>
  </w:num>
  <w:num w:numId="75">
    <w:abstractNumId w:val="2"/>
  </w:num>
  <w:num w:numId="76">
    <w:abstractNumId w:val="70"/>
  </w:num>
  <w:num w:numId="77">
    <w:abstractNumId w:val="20"/>
  </w:num>
  <w:num w:numId="78">
    <w:abstractNumId w:val="17"/>
  </w:num>
  <w:num w:numId="79">
    <w:abstractNumId w:val="15"/>
  </w:num>
  <w:num w:numId="80">
    <w:abstractNumId w:val="13"/>
  </w:num>
  <w:num w:numId="81">
    <w:abstractNumId w:val="47"/>
  </w:num>
  <w:num w:numId="82">
    <w:abstractNumId w:val="18"/>
  </w:num>
  <w:num w:numId="83">
    <w:abstractNumId w:val="30"/>
  </w:num>
  <w:num w:numId="84">
    <w:abstractNumId w:val="31"/>
  </w:num>
  <w:num w:numId="85">
    <w:abstractNumId w:val="21"/>
  </w:num>
  <w:num w:numId="86">
    <w:abstractNumId w:val="85"/>
  </w:num>
  <w:num w:numId="87">
    <w:abstractNumId w:val="50"/>
  </w:num>
  <w:num w:numId="88">
    <w:abstractNumId w:val="48"/>
  </w:num>
  <w:num w:numId="89">
    <w:abstractNumId w:val="62"/>
  </w:num>
  <w:num w:numId="90">
    <w:abstractNumId w:val="71"/>
  </w:num>
  <w:num w:numId="91">
    <w:abstractNumId w:val="22"/>
  </w:num>
  <w:num w:numId="92">
    <w:abstractNumId w:val="5"/>
  </w:num>
  <w:num w:numId="93">
    <w:abstractNumId w:val="61"/>
  </w:num>
  <w:num w:numId="94">
    <w:abstractNumId w:val="32"/>
  </w:num>
  <w:num w:numId="95">
    <w:abstractNumId w:val="6"/>
  </w:num>
  <w:num w:numId="96">
    <w:abstractNumId w:val="1"/>
  </w:num>
  <w:num w:numId="97">
    <w:abstractNumId w:val="54"/>
  </w:num>
  <w:num w:numId="98">
    <w:abstractNumId w:val="39"/>
  </w:num>
  <w:num w:numId="99">
    <w:abstractNumId w:val="64"/>
  </w:num>
  <w:num w:numId="100">
    <w:abstractNumId w:val="72"/>
  </w:num>
  <w:num w:numId="101">
    <w:abstractNumId w:val="4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BD3E0A"/>
    <w:rsid w:val="0003502D"/>
    <w:rsid w:val="00051D99"/>
    <w:rsid w:val="0005540F"/>
    <w:rsid w:val="000E18B7"/>
    <w:rsid w:val="000F76A0"/>
    <w:rsid w:val="00110491"/>
    <w:rsid w:val="001572F4"/>
    <w:rsid w:val="00160A9C"/>
    <w:rsid w:val="001731F4"/>
    <w:rsid w:val="001D3BDB"/>
    <w:rsid w:val="00217B50"/>
    <w:rsid w:val="00232764"/>
    <w:rsid w:val="00261BFE"/>
    <w:rsid w:val="0026413C"/>
    <w:rsid w:val="002A029C"/>
    <w:rsid w:val="00343AA9"/>
    <w:rsid w:val="00386C69"/>
    <w:rsid w:val="003E6760"/>
    <w:rsid w:val="004304DB"/>
    <w:rsid w:val="00432D46"/>
    <w:rsid w:val="00446CBF"/>
    <w:rsid w:val="004A3022"/>
    <w:rsid w:val="004A3247"/>
    <w:rsid w:val="004B42FF"/>
    <w:rsid w:val="004E1544"/>
    <w:rsid w:val="004E4981"/>
    <w:rsid w:val="004F1221"/>
    <w:rsid w:val="00517B70"/>
    <w:rsid w:val="005472B5"/>
    <w:rsid w:val="005934C5"/>
    <w:rsid w:val="005A72D2"/>
    <w:rsid w:val="00624083"/>
    <w:rsid w:val="006267D0"/>
    <w:rsid w:val="00717FEA"/>
    <w:rsid w:val="00767C5B"/>
    <w:rsid w:val="007A03A6"/>
    <w:rsid w:val="007A66E9"/>
    <w:rsid w:val="007B0C45"/>
    <w:rsid w:val="007F432D"/>
    <w:rsid w:val="00896F01"/>
    <w:rsid w:val="008B5402"/>
    <w:rsid w:val="008D41E2"/>
    <w:rsid w:val="00946A86"/>
    <w:rsid w:val="00947021"/>
    <w:rsid w:val="009856DA"/>
    <w:rsid w:val="009B72D2"/>
    <w:rsid w:val="009F7A8D"/>
    <w:rsid w:val="00A50C94"/>
    <w:rsid w:val="00A528E6"/>
    <w:rsid w:val="00A53E33"/>
    <w:rsid w:val="00A54518"/>
    <w:rsid w:val="00AC39E9"/>
    <w:rsid w:val="00AF44E6"/>
    <w:rsid w:val="00B14633"/>
    <w:rsid w:val="00B22490"/>
    <w:rsid w:val="00B27CEC"/>
    <w:rsid w:val="00B5103E"/>
    <w:rsid w:val="00BD3E0A"/>
    <w:rsid w:val="00BF29AE"/>
    <w:rsid w:val="00BF749F"/>
    <w:rsid w:val="00C77EAE"/>
    <w:rsid w:val="00C9352C"/>
    <w:rsid w:val="00DE36CF"/>
    <w:rsid w:val="00DE4210"/>
    <w:rsid w:val="00E13BF2"/>
    <w:rsid w:val="00E17BE8"/>
    <w:rsid w:val="00F21D0F"/>
    <w:rsid w:val="00F91A5B"/>
    <w:rsid w:val="00F91E2E"/>
    <w:rsid w:val="00FB4501"/>
    <w:rsid w:val="00FC1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Arial Unicode MS" w:hAnsi="Calibri" w:cs="Calibri"/>
        <w:kern w:val="3"/>
        <w:sz w:val="22"/>
        <w:szCs w:val="22"/>
        <w:lang w:val="bg-BG"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Cite"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Standard"/>
    <w:next w:val="Textbody"/>
    <w:pPr>
      <w:keepNext/>
      <w:keepLines/>
      <w:spacing w:before="480"/>
      <w:outlineLvl w:val="0"/>
    </w:pPr>
    <w:rPr>
      <w:rFonts w:ascii="Cambria" w:hAnsi="Cambria" w:cs="F"/>
      <w:b/>
      <w:bCs/>
      <w:color w:val="365F91"/>
      <w:sz w:val="28"/>
      <w:szCs w:val="28"/>
    </w:rPr>
  </w:style>
  <w:style w:type="paragraph" w:styleId="Heading2">
    <w:name w:val="heading 2"/>
    <w:basedOn w:val="Standard"/>
    <w:next w:val="Textbody"/>
    <w:pPr>
      <w:keepNext/>
      <w:keepLines/>
      <w:spacing w:before="200"/>
      <w:outlineLvl w:val="1"/>
    </w:pPr>
    <w:rPr>
      <w:rFonts w:ascii="Cambria" w:hAnsi="Cambria" w:cs="F"/>
      <w:b/>
      <w:bCs/>
      <w:color w:val="4F81BD"/>
      <w:sz w:val="26"/>
      <w:szCs w:val="26"/>
    </w:rPr>
  </w:style>
  <w:style w:type="paragraph" w:styleId="Heading3">
    <w:name w:val="heading 3"/>
    <w:basedOn w:val="Standard"/>
    <w:next w:val="Textbody"/>
    <w:qFormat/>
    <w:pPr>
      <w:spacing w:before="100" w:after="100"/>
      <w:outlineLvl w:val="2"/>
    </w:pPr>
    <w:rPr>
      <w:b/>
      <w:bCs/>
      <w:sz w:val="27"/>
      <w:szCs w:val="27"/>
    </w:rPr>
  </w:style>
  <w:style w:type="paragraph" w:styleId="Heading4">
    <w:name w:val="heading 4"/>
    <w:basedOn w:val="Standard"/>
    <w:next w:val="Textbody"/>
    <w:qFormat/>
    <w:pPr>
      <w:keepNext/>
      <w:keepLines/>
      <w:spacing w:before="200"/>
      <w:outlineLvl w:val="3"/>
    </w:pPr>
    <w:rPr>
      <w:rFonts w:ascii="Cambria" w:hAnsi="Cambria" w:cs="F"/>
      <w:b/>
      <w:bCs/>
      <w:i/>
      <w:iCs/>
      <w:color w:val="4F81BD"/>
    </w:rPr>
  </w:style>
  <w:style w:type="paragraph" w:styleId="Heading5">
    <w:name w:val="heading 5"/>
    <w:basedOn w:val="Standard"/>
    <w:next w:val="Textbody"/>
    <w:qFormat/>
    <w:pPr>
      <w:spacing w:before="240" w:after="60"/>
      <w:outlineLvl w:val="4"/>
    </w:pPr>
    <w:rPr>
      <w:rFonts w:ascii="Arial" w:hAnsi="Arial"/>
      <w:b/>
      <w:bCs/>
      <w:i/>
      <w:iCs/>
      <w:sz w:val="26"/>
      <w:szCs w:val="26"/>
      <w:lang w:val="en-US" w:eastAsia="en-US"/>
    </w:rPr>
  </w:style>
  <w:style w:type="paragraph" w:styleId="Heading6">
    <w:name w:val="heading 6"/>
    <w:basedOn w:val="Heading5"/>
    <w:next w:val="Normal"/>
    <w:link w:val="Heading6Char"/>
    <w:qFormat/>
    <w:rsid w:val="00AC39E9"/>
    <w:pPr>
      <w:keepNext/>
      <w:tabs>
        <w:tab w:val="left" w:pos="567"/>
      </w:tabs>
      <w:suppressAutoHyphens w:val="0"/>
      <w:autoSpaceDN/>
      <w:ind w:left="4320" w:hanging="360"/>
      <w:textAlignment w:val="auto"/>
      <w:outlineLvl w:val="5"/>
    </w:pPr>
    <w:rPr>
      <w:b w:val="0"/>
      <w:bCs w:val="0"/>
      <w:iCs w:val="0"/>
      <w:noProof/>
      <w:color w:val="000000"/>
      <w:kern w:val="0"/>
      <w:sz w:val="22"/>
      <w:szCs w:val="20"/>
      <w:lang w:val="fr-BE"/>
    </w:rPr>
  </w:style>
  <w:style w:type="paragraph" w:styleId="Heading7">
    <w:name w:val="heading 7"/>
    <w:basedOn w:val="Heading6"/>
    <w:next w:val="Normal"/>
    <w:link w:val="Heading7Char"/>
    <w:qFormat/>
    <w:rsid w:val="00AC39E9"/>
    <w:pPr>
      <w:ind w:left="5040"/>
      <w:outlineLvl w:val="6"/>
    </w:pPr>
    <w:rPr>
      <w:i w:val="0"/>
    </w:rPr>
  </w:style>
  <w:style w:type="paragraph" w:styleId="Heading8">
    <w:name w:val="heading 8"/>
    <w:basedOn w:val="Heading7"/>
    <w:next w:val="Normal"/>
    <w:link w:val="Heading8Char"/>
    <w:qFormat/>
    <w:rsid w:val="00AC39E9"/>
    <w:pPr>
      <w:ind w:left="5760"/>
      <w:outlineLvl w:val="7"/>
    </w:pPr>
    <w:rPr>
      <w:rFonts w:ascii="Calibri" w:hAnsi="Calibri"/>
      <w:b/>
      <w:i/>
      <w:sz w:val="24"/>
    </w:rPr>
  </w:style>
  <w:style w:type="paragraph" w:styleId="Heading9">
    <w:name w:val="heading 9"/>
    <w:basedOn w:val="Heading8"/>
    <w:next w:val="Normal"/>
    <w:link w:val="Heading9Char"/>
    <w:qFormat/>
    <w:rsid w:val="00AC39E9"/>
    <w:pPr>
      <w:ind w:left="6480"/>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0" w:line="240" w:lineRule="auto"/>
    </w:pPr>
    <w:rPr>
      <w:rFonts w:ascii="Times New Roman" w:eastAsia="Times New Roman" w:hAnsi="Times New Roman" w:cs="Times New Roman"/>
      <w:sz w:val="24"/>
      <w:szCs w:val="24"/>
      <w:lang w:eastAsia="bg-BG"/>
    </w:rPr>
  </w:style>
  <w:style w:type="paragraph" w:customStyle="1" w:styleId="Heading">
    <w:name w:val="Heading"/>
    <w:basedOn w:val="Standard"/>
    <w:next w:val="Textbody"/>
    <w:pPr>
      <w:keepNext/>
      <w:spacing w:before="240" w:after="120" w:line="100" w:lineRule="atLeast"/>
    </w:pPr>
    <w:rPr>
      <w:rFonts w:ascii="Arial" w:eastAsia="Microsoft YaHei" w:hAnsi="Arial" w:cs="Arial"/>
      <w:sz w:val="28"/>
      <w:szCs w:val="28"/>
      <w:lang w:eastAsia="ar-SA"/>
    </w:rPr>
  </w:style>
  <w:style w:type="paragraph" w:customStyle="1" w:styleId="Textbody">
    <w:name w:val="Text body"/>
    <w:basedOn w:val="Standard"/>
    <w:pPr>
      <w:spacing w:after="120" w:line="100" w:lineRule="atLeast"/>
    </w:pPr>
    <w:rPr>
      <w:lang w:eastAsia="ar-SA"/>
    </w:rPr>
  </w:style>
  <w:style w:type="paragraph" w:styleId="List">
    <w:name w:val="List"/>
    <w:basedOn w:val="Textbody"/>
    <w:rPr>
      <w:rFonts w:cs="Arial"/>
    </w:rPr>
  </w:style>
  <w:style w:type="paragraph" w:styleId="Caption">
    <w:name w:val="caption"/>
    <w:basedOn w:val="Standard"/>
    <w:pPr>
      <w:suppressLineNumbers/>
      <w:spacing w:before="120" w:after="120" w:line="100" w:lineRule="atLeast"/>
    </w:pPr>
    <w:rPr>
      <w:rFonts w:cs="Arial"/>
      <w:i/>
      <w:iCs/>
      <w:lang w:eastAsia="ar-SA"/>
    </w:rPr>
  </w:style>
  <w:style w:type="paragraph" w:customStyle="1" w:styleId="Index">
    <w:name w:val="Index"/>
    <w:basedOn w:val="Standard"/>
    <w:pPr>
      <w:suppressLineNumbers/>
      <w:spacing w:line="100" w:lineRule="atLeast"/>
    </w:pPr>
    <w:rPr>
      <w:rFonts w:cs="Arial"/>
      <w:lang w:eastAsia="ar-SA"/>
    </w:rPr>
  </w:style>
  <w:style w:type="paragraph" w:styleId="BalloonText">
    <w:name w:val="Balloon Text"/>
    <w:basedOn w:val="Standard"/>
    <w:pPr>
      <w:spacing w:line="100" w:lineRule="atLeast"/>
    </w:pPr>
    <w:rPr>
      <w:rFonts w:ascii="Tahoma" w:hAnsi="Tahoma" w:cs="Tahoma"/>
      <w:sz w:val="16"/>
      <w:szCs w:val="16"/>
      <w:lang w:eastAsia="ar-SA"/>
    </w:rPr>
  </w:style>
  <w:style w:type="paragraph" w:styleId="ListParagraph">
    <w:name w:val="List Paragraph"/>
    <w:basedOn w:val="Standard"/>
    <w:pPr>
      <w:spacing w:line="100" w:lineRule="atLeast"/>
      <w:ind w:left="720"/>
    </w:pPr>
    <w:rPr>
      <w:lang w:eastAsia="ar-SA"/>
    </w:rPr>
  </w:style>
  <w:style w:type="paragraph" w:styleId="NormalWeb">
    <w:name w:val="Normal (Web)"/>
    <w:basedOn w:val="Standard"/>
    <w:pPr>
      <w:spacing w:before="100" w:after="100" w:line="100" w:lineRule="atLeast"/>
    </w:pPr>
    <w:rPr>
      <w:lang w:eastAsia="ar-SA"/>
    </w:rPr>
  </w:style>
  <w:style w:type="paragraph" w:styleId="Footer">
    <w:name w:val="footer"/>
    <w:basedOn w:val="Standard"/>
    <w:link w:val="FooterChar"/>
    <w:pPr>
      <w:suppressLineNumbers/>
      <w:tabs>
        <w:tab w:val="center" w:pos="4536"/>
        <w:tab w:val="right" w:pos="9072"/>
      </w:tabs>
    </w:pPr>
  </w:style>
  <w:style w:type="paragraph" w:styleId="Header">
    <w:name w:val="header"/>
    <w:basedOn w:val="Standard"/>
    <w:pPr>
      <w:suppressLineNumbers/>
      <w:tabs>
        <w:tab w:val="center" w:pos="4536"/>
        <w:tab w:val="right" w:pos="9072"/>
      </w:tabs>
    </w:pPr>
  </w:style>
  <w:style w:type="paragraph" w:styleId="HTMLPreformatted">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pPr>
    <w:rPr>
      <w:rFonts w:ascii="Courier New" w:hAnsi="Courier New" w:cs="Courier New"/>
      <w:sz w:val="20"/>
      <w:szCs w:val="20"/>
      <w:lang w:eastAsia="ar-SA"/>
    </w:rPr>
  </w:style>
  <w:style w:type="paragraph" w:styleId="BodyText2">
    <w:name w:val="Body Text 2"/>
    <w:basedOn w:val="Standard"/>
    <w:pPr>
      <w:jc w:val="both"/>
    </w:pPr>
    <w:rPr>
      <w:szCs w:val="20"/>
      <w:lang w:eastAsia="en-US"/>
    </w:rPr>
  </w:style>
  <w:style w:type="paragraph" w:styleId="DocumentMap">
    <w:name w:val="Document Map"/>
    <w:basedOn w:val="Standard"/>
    <w:pPr>
      <w:shd w:val="clear" w:color="auto" w:fill="000080"/>
    </w:pPr>
    <w:rPr>
      <w:rFonts w:ascii="Tahoma" w:hAnsi="Tahoma" w:cs="Tahoma"/>
      <w:sz w:val="20"/>
      <w:szCs w:val="20"/>
      <w:lang w:val="en-US" w:eastAsia="en-US"/>
    </w:rPr>
  </w:style>
  <w:style w:type="paragraph" w:customStyle="1" w:styleId="CharChar1">
    <w:name w:val="Char Char1"/>
    <w:basedOn w:val="Standard"/>
    <w:pPr>
      <w:tabs>
        <w:tab w:val="left" w:pos="709"/>
      </w:tabs>
    </w:pPr>
    <w:rPr>
      <w:rFonts w:ascii="Tahoma" w:hAnsi="Tahoma"/>
      <w:lang w:val="pl-PL" w:eastAsia="pl-PL"/>
    </w:rPr>
  </w:style>
  <w:style w:type="paragraph" w:customStyle="1" w:styleId="CharCharCharCharCharChar">
    <w:name w:val="Char Char Char Char Char Char"/>
    <w:basedOn w:val="Standard"/>
    <w:pPr>
      <w:tabs>
        <w:tab w:val="left" w:pos="709"/>
      </w:tabs>
    </w:pPr>
    <w:rPr>
      <w:rFonts w:ascii="Tahoma" w:hAnsi="Tahoma"/>
      <w:lang w:val="pl-PL" w:eastAsia="pl-PL"/>
    </w:rPr>
  </w:style>
  <w:style w:type="paragraph" w:customStyle="1" w:styleId="1CharChar1CharCharCharChar1">
    <w:name w:val="Знак Знак1 Char Char1 Знак Знак Char Char Знак Знак Char Char1 Знак Знак"/>
    <w:basedOn w:val="Standard"/>
    <w:pPr>
      <w:tabs>
        <w:tab w:val="left" w:pos="709"/>
      </w:tabs>
    </w:pPr>
    <w:rPr>
      <w:rFonts w:ascii="Tahoma" w:hAnsi="Tahoma"/>
      <w:lang w:val="pl-PL" w:eastAsia="pl-PL"/>
    </w:rPr>
  </w:style>
  <w:style w:type="character" w:customStyle="1" w:styleId="1">
    <w:name w:val="Заглавие 1 Знак"/>
    <w:basedOn w:val="DefaultParagraphFont"/>
    <w:rPr>
      <w:rFonts w:ascii="Cambria" w:hAnsi="Cambria" w:cs="F"/>
      <w:b/>
      <w:bCs/>
      <w:color w:val="365F91"/>
      <w:sz w:val="28"/>
      <w:szCs w:val="28"/>
      <w:lang w:eastAsia="bg-BG"/>
    </w:rPr>
  </w:style>
  <w:style w:type="character" w:customStyle="1" w:styleId="2">
    <w:name w:val="Заглавие 2 Знак"/>
    <w:basedOn w:val="DefaultParagraphFont"/>
    <w:rPr>
      <w:rFonts w:ascii="Cambria" w:hAnsi="Cambria" w:cs="F"/>
      <w:b/>
      <w:bCs/>
      <w:color w:val="4F81BD"/>
      <w:sz w:val="26"/>
      <w:szCs w:val="26"/>
      <w:lang w:eastAsia="bg-BG"/>
    </w:rPr>
  </w:style>
  <w:style w:type="character" w:customStyle="1" w:styleId="3">
    <w:name w:val="Заглавие 3 Знак"/>
    <w:basedOn w:val="DefaultParagraphFont"/>
    <w:rPr>
      <w:rFonts w:ascii="Times New Roman" w:eastAsia="Times New Roman" w:hAnsi="Times New Roman" w:cs="Times New Roman"/>
      <w:b/>
      <w:bCs/>
      <w:sz w:val="27"/>
      <w:szCs w:val="27"/>
      <w:lang w:eastAsia="bg-BG"/>
    </w:rPr>
  </w:style>
  <w:style w:type="character" w:customStyle="1" w:styleId="4">
    <w:name w:val="Заглавие 4 Знак"/>
    <w:basedOn w:val="DefaultParagraphFont"/>
    <w:rPr>
      <w:rFonts w:ascii="Cambria" w:hAnsi="Cambria" w:cs="F"/>
      <w:b/>
      <w:bCs/>
      <w:i/>
      <w:iCs/>
      <w:color w:val="4F81BD"/>
      <w:sz w:val="24"/>
      <w:szCs w:val="24"/>
      <w:lang w:eastAsia="bg-BG"/>
    </w:rPr>
  </w:style>
  <w:style w:type="character" w:customStyle="1" w:styleId="a">
    <w:name w:val="Изнесен текст Знак"/>
    <w:basedOn w:val="DefaultParagraphFont"/>
    <w:rPr>
      <w:rFonts w:ascii="Tahoma" w:eastAsia="Times New Roman" w:hAnsi="Tahoma" w:cs="Tahoma"/>
      <w:sz w:val="16"/>
      <w:szCs w:val="16"/>
      <w:lang w:eastAsia="bg-BG"/>
    </w:rPr>
  </w:style>
  <w:style w:type="character" w:customStyle="1" w:styleId="st">
    <w:name w:val="st"/>
    <w:basedOn w:val="DefaultParagraphFont"/>
  </w:style>
  <w:style w:type="character" w:styleId="Emphasis">
    <w:name w:val="Emphasis"/>
    <w:basedOn w:val="DefaultParagraphFont"/>
    <w:rPr>
      <w:i/>
      <w:iCs/>
    </w:rPr>
  </w:style>
  <w:style w:type="character" w:customStyle="1" w:styleId="Internetlink">
    <w:name w:val="Internet link"/>
    <w:basedOn w:val="DefaultParagraphFont"/>
    <w:rPr>
      <w:color w:val="0000FF"/>
      <w:u w:val="single"/>
    </w:rPr>
  </w:style>
  <w:style w:type="character" w:customStyle="1" w:styleId="StrongEmphasis">
    <w:name w:val="Strong Emphasis"/>
    <w:basedOn w:val="DefaultParagraphFont"/>
    <w:rPr>
      <w:b/>
      <w:bCs/>
    </w:rPr>
  </w:style>
  <w:style w:type="character" w:customStyle="1" w:styleId="a0">
    <w:name w:val="Долен колонтитул Знак"/>
    <w:basedOn w:val="DefaultParagraphFont"/>
    <w:rPr>
      <w:rFonts w:ascii="Times New Roman" w:eastAsia="Times New Roman" w:hAnsi="Times New Roman" w:cs="Times New Roman"/>
      <w:sz w:val="24"/>
      <w:szCs w:val="24"/>
      <w:lang w:eastAsia="bg-BG"/>
    </w:rPr>
  </w:style>
  <w:style w:type="character" w:customStyle="1" w:styleId="a1">
    <w:name w:val="Горен колонтитул Знак"/>
    <w:basedOn w:val="DefaultParagraphFont"/>
    <w:rPr>
      <w:rFonts w:ascii="Times New Roman" w:eastAsia="Times New Roman" w:hAnsi="Times New Roman" w:cs="Times New Roman"/>
      <w:sz w:val="24"/>
      <w:szCs w:val="24"/>
      <w:lang w:eastAsia="bg-BG"/>
    </w:rPr>
  </w:style>
  <w:style w:type="character" w:styleId="HTMLCite">
    <w:name w:val="HTML Cite"/>
    <w:basedOn w:val="DefaultParagraphFont"/>
    <w:rPr>
      <w:i/>
      <w:iCs/>
    </w:rPr>
  </w:style>
  <w:style w:type="character" w:customStyle="1" w:styleId="HTML">
    <w:name w:val="HTML стандартен Знак"/>
    <w:basedOn w:val="DefaultParagraphFont"/>
    <w:rPr>
      <w:rFonts w:ascii="Courier New" w:eastAsia="Times New Roman" w:hAnsi="Courier New" w:cs="Courier New"/>
      <w:sz w:val="20"/>
      <w:szCs w:val="20"/>
      <w:lang w:eastAsia="bg-BG"/>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b/>
    </w:rPr>
  </w:style>
  <w:style w:type="character" w:customStyle="1" w:styleId="ListLabel4">
    <w:name w:val="ListLabel 4"/>
    <w:rPr>
      <w:b w:val="0"/>
    </w:rPr>
  </w:style>
  <w:style w:type="character" w:customStyle="1" w:styleId="ListLabel5">
    <w:name w:val="ListLabel 5"/>
    <w:rPr>
      <w:rFonts w:eastAsia="MS Mincho" w:cs="Times New Roman"/>
    </w:rPr>
  </w:style>
  <w:style w:type="character" w:customStyle="1" w:styleId="ListLabel6">
    <w:name w:val="ListLabel 6"/>
    <w:rPr>
      <w:rFonts w:eastAsia="Times New Roman" w:cs="Times New Roman"/>
      <w:b w:val="0"/>
    </w:rPr>
  </w:style>
  <w:style w:type="character" w:customStyle="1" w:styleId="ListLabel7">
    <w:name w:val="ListLabel 7"/>
    <w:rPr>
      <w:color w:val="00000A"/>
    </w:rPr>
  </w:style>
  <w:style w:type="character" w:customStyle="1" w:styleId="a2">
    <w:name w:val="Основен текст Знак"/>
    <w:basedOn w:val="DefaultParagraphFont"/>
    <w:rPr>
      <w:rFonts w:ascii="Times New Roman" w:eastAsia="Times New Roman" w:hAnsi="Times New Roman" w:cs="Times New Roman"/>
      <w:sz w:val="24"/>
      <w:szCs w:val="24"/>
      <w:lang w:eastAsia="ar-SA"/>
    </w:rPr>
  </w:style>
  <w:style w:type="character" w:customStyle="1" w:styleId="5">
    <w:name w:val="Заглавие 5 Знак"/>
    <w:basedOn w:val="DefaultParagraphFont"/>
    <w:rPr>
      <w:rFonts w:ascii="Arial" w:eastAsia="Times New Roman" w:hAnsi="Arial" w:cs="Times New Roman"/>
      <w:b/>
      <w:bCs/>
      <w:i/>
      <w:iCs/>
      <w:sz w:val="26"/>
      <w:szCs w:val="26"/>
      <w:lang w:val="en-US"/>
    </w:rPr>
  </w:style>
  <w:style w:type="character" w:customStyle="1" w:styleId="20">
    <w:name w:val="Основен текст 2 Знак"/>
    <w:basedOn w:val="DefaultParagraphFont"/>
    <w:rPr>
      <w:rFonts w:ascii="Times New Roman" w:eastAsia="Times New Roman" w:hAnsi="Times New Roman" w:cs="Times New Roman"/>
      <w:sz w:val="24"/>
      <w:szCs w:val="20"/>
    </w:rPr>
  </w:style>
  <w:style w:type="character" w:customStyle="1" w:styleId="a3">
    <w:name w:val="План на документа Знак"/>
    <w:basedOn w:val="DefaultParagraphFont"/>
    <w:rPr>
      <w:rFonts w:ascii="Tahoma" w:eastAsia="Times New Roman" w:hAnsi="Tahoma" w:cs="Tahoma"/>
      <w:sz w:val="20"/>
      <w:szCs w:val="20"/>
      <w:lang w:val="en-US"/>
    </w:rPr>
  </w:style>
  <w:style w:type="character" w:styleId="PageNumber">
    <w:name w:val="page number"/>
    <w:rPr>
      <w:rFonts w:cs="Times New Roman"/>
    </w:rPr>
  </w:style>
  <w:style w:type="character" w:customStyle="1" w:styleId="desi">
    <w:name w:val="desi"/>
    <w:rPr>
      <w:rFonts w:ascii="Arial" w:hAnsi="Arial"/>
      <w:color w:val="00000A"/>
      <w:sz w:val="20"/>
    </w:rPr>
  </w:style>
  <w:style w:type="character" w:customStyle="1" w:styleId="ListLabel8">
    <w:name w:val="ListLabel 8"/>
    <w:rPr>
      <w:rFonts w:eastAsia="Times New Roman" w:cs="Times New Roman"/>
    </w:rPr>
  </w:style>
  <w:style w:type="character" w:customStyle="1" w:styleId="ListLabel9">
    <w:name w:val="ListLabel 9"/>
    <w:rPr>
      <w:rFonts w:cs="Courier New"/>
    </w:rPr>
  </w:style>
  <w:style w:type="character" w:customStyle="1" w:styleId="ListLabel10">
    <w:name w:val="ListLabel 10"/>
    <w:rPr>
      <w:b/>
    </w:rPr>
  </w:style>
  <w:style w:type="character" w:customStyle="1" w:styleId="ListLabel11">
    <w:name w:val="ListLabel 11"/>
    <w:rPr>
      <w:b w:val="0"/>
    </w:rPr>
  </w:style>
  <w:style w:type="character" w:customStyle="1" w:styleId="ListLabel12">
    <w:name w:val="ListLabel 12"/>
    <w:rPr>
      <w:rFonts w:eastAsia="MS Mincho" w:cs="Times New Roman"/>
    </w:rPr>
  </w:style>
  <w:style w:type="character" w:customStyle="1" w:styleId="ListLabel13">
    <w:name w:val="ListLabel 13"/>
    <w:rPr>
      <w:rFonts w:eastAsia="Times New Roman" w:cs="Times New Roman"/>
      <w:b w:val="0"/>
    </w:rPr>
  </w:style>
  <w:style w:type="character" w:customStyle="1" w:styleId="ListLabel14">
    <w:name w:val="ListLabel 14"/>
    <w:rPr>
      <w:color w:val="00000A"/>
    </w:rPr>
  </w:style>
  <w:style w:type="character" w:customStyle="1" w:styleId="ListLabel15">
    <w:name w:val="ListLabel 15"/>
    <w:rPr>
      <w:rFonts w:eastAsia="Times New Roman" w:cs="Times New Roman"/>
      <w:b/>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character" w:customStyle="1" w:styleId="Heading6Char">
    <w:name w:val="Heading 6 Char"/>
    <w:basedOn w:val="DefaultParagraphFont"/>
    <w:link w:val="Heading6"/>
    <w:rsid w:val="00AC39E9"/>
    <w:rPr>
      <w:rFonts w:ascii="Arial" w:eastAsia="Times New Roman" w:hAnsi="Arial" w:cs="Times New Roman"/>
      <w:i/>
      <w:noProof/>
      <w:color w:val="000000"/>
      <w:kern w:val="0"/>
      <w:szCs w:val="20"/>
      <w:lang w:val="fr-BE"/>
    </w:rPr>
  </w:style>
  <w:style w:type="character" w:customStyle="1" w:styleId="Heading7Char">
    <w:name w:val="Heading 7 Char"/>
    <w:basedOn w:val="DefaultParagraphFont"/>
    <w:link w:val="Heading7"/>
    <w:rsid w:val="00AC39E9"/>
    <w:rPr>
      <w:rFonts w:ascii="Arial" w:eastAsia="Times New Roman" w:hAnsi="Arial" w:cs="Times New Roman"/>
      <w:noProof/>
      <w:color w:val="000000"/>
      <w:kern w:val="0"/>
      <w:szCs w:val="20"/>
      <w:lang w:val="fr-BE"/>
    </w:rPr>
  </w:style>
  <w:style w:type="character" w:customStyle="1" w:styleId="Heading8Char">
    <w:name w:val="Heading 8 Char"/>
    <w:basedOn w:val="DefaultParagraphFont"/>
    <w:link w:val="Heading8"/>
    <w:rsid w:val="00AC39E9"/>
    <w:rPr>
      <w:rFonts w:eastAsia="Times New Roman" w:cs="Times New Roman"/>
      <w:b/>
      <w:i/>
      <w:noProof/>
      <w:color w:val="000000"/>
      <w:kern w:val="0"/>
      <w:sz w:val="24"/>
      <w:szCs w:val="20"/>
      <w:lang w:val="fr-BE"/>
    </w:rPr>
  </w:style>
  <w:style w:type="character" w:customStyle="1" w:styleId="Heading9Char">
    <w:name w:val="Heading 9 Char"/>
    <w:basedOn w:val="DefaultParagraphFont"/>
    <w:link w:val="Heading9"/>
    <w:rsid w:val="00AC39E9"/>
    <w:rPr>
      <w:rFonts w:eastAsia="Times New Roman" w:cs="Times New Roman"/>
      <w:i/>
      <w:noProof/>
      <w:color w:val="000000"/>
      <w:kern w:val="0"/>
      <w:sz w:val="24"/>
      <w:szCs w:val="20"/>
      <w:lang w:val="fr-BE"/>
    </w:rPr>
  </w:style>
  <w:style w:type="numbering" w:customStyle="1" w:styleId="WWNum110">
    <w:name w:val="WWNum110"/>
    <w:basedOn w:val="NoList"/>
    <w:rsid w:val="007A66E9"/>
    <w:pPr>
      <w:numPr>
        <w:numId w:val="66"/>
      </w:numPr>
    </w:pPr>
  </w:style>
  <w:style w:type="numbering" w:customStyle="1" w:styleId="WWNum221">
    <w:name w:val="WWNum221"/>
    <w:basedOn w:val="NoList"/>
    <w:rsid w:val="007A66E9"/>
    <w:pPr>
      <w:numPr>
        <w:numId w:val="67"/>
      </w:numPr>
    </w:pPr>
  </w:style>
  <w:style w:type="character" w:customStyle="1" w:styleId="FooterChar">
    <w:name w:val="Footer Char"/>
    <w:basedOn w:val="DefaultParagraphFont"/>
    <w:link w:val="Footer"/>
    <w:rsid w:val="00B22490"/>
    <w:rPr>
      <w:rFonts w:ascii="Times New Roman" w:eastAsia="Times New Roman" w:hAnsi="Times New Roman" w:cs="Times New Roman"/>
      <w:sz w:val="24"/>
      <w:szCs w:val="24"/>
      <w:lang w:eastAsia="bg-BG"/>
    </w:rPr>
  </w:style>
  <w:style w:type="paragraph" w:customStyle="1" w:styleId="Style1">
    <w:name w:val="Style1"/>
    <w:basedOn w:val="Normal"/>
    <w:rsid w:val="008D41E2"/>
    <w:pPr>
      <w:suppressAutoHyphens w:val="0"/>
      <w:autoSpaceDE w:val="0"/>
      <w:spacing w:after="0" w:line="240" w:lineRule="auto"/>
      <w:textAlignment w:val="auto"/>
    </w:pPr>
    <w:rPr>
      <w:rFonts w:ascii="Times New Roman" w:eastAsia="Calibri" w:hAnsi="Times New Roman" w:cs="Times New Roman"/>
      <w:kern w:val="0"/>
      <w:sz w:val="24"/>
      <w:szCs w:val="24"/>
      <w:lang w:eastAsia="bg-BG"/>
    </w:rPr>
  </w:style>
  <w:style w:type="character" w:customStyle="1" w:styleId="FontStyle20">
    <w:name w:val="Font Style20"/>
    <w:rsid w:val="008D41E2"/>
    <w:rPr>
      <w:rFonts w:ascii="Times New Roman" w:hAnsi="Times New Roman" w:cs="Times New Roman"/>
      <w:b/>
      <w:bCs/>
      <w:sz w:val="22"/>
      <w:szCs w:val="22"/>
    </w:rPr>
  </w:style>
  <w:style w:type="paragraph" w:customStyle="1" w:styleId="Style5">
    <w:name w:val="Style5"/>
    <w:basedOn w:val="Normal"/>
    <w:rsid w:val="008D41E2"/>
    <w:pPr>
      <w:suppressAutoHyphens w:val="0"/>
      <w:autoSpaceDE w:val="0"/>
      <w:spacing w:after="0" w:line="276" w:lineRule="exact"/>
      <w:jc w:val="center"/>
      <w:textAlignment w:val="auto"/>
    </w:pPr>
    <w:rPr>
      <w:rFonts w:ascii="Times New Roman" w:eastAsia="Calibri" w:hAnsi="Times New Roman" w:cs="Times New Roman"/>
      <w:kern w:val="0"/>
      <w:sz w:val="24"/>
      <w:szCs w:val="24"/>
      <w:lang w:eastAsia="bg-BG"/>
    </w:rPr>
  </w:style>
  <w:style w:type="character" w:customStyle="1" w:styleId="FontStyle21">
    <w:name w:val="Font Style21"/>
    <w:rsid w:val="008D41E2"/>
    <w:rPr>
      <w:rFonts w:ascii="Times New Roman" w:hAnsi="Times New Roman" w:cs="Times New Roman"/>
      <w:sz w:val="22"/>
      <w:szCs w:val="22"/>
    </w:rPr>
  </w:style>
  <w:style w:type="paragraph" w:customStyle="1" w:styleId="Style8">
    <w:name w:val="Style8"/>
    <w:basedOn w:val="Normal"/>
    <w:rsid w:val="008D41E2"/>
    <w:pPr>
      <w:suppressAutoHyphens w:val="0"/>
      <w:autoSpaceDE w:val="0"/>
      <w:spacing w:after="0" w:line="269" w:lineRule="exact"/>
      <w:textAlignment w:val="auto"/>
    </w:pPr>
    <w:rPr>
      <w:rFonts w:ascii="Times New Roman" w:eastAsia="Calibri" w:hAnsi="Times New Roman" w:cs="Times New Roman"/>
      <w:kern w:val="0"/>
      <w:sz w:val="24"/>
      <w:szCs w:val="24"/>
      <w:lang w:eastAsia="bg-BG"/>
    </w:rPr>
  </w:style>
  <w:style w:type="paragraph" w:customStyle="1" w:styleId="Style13">
    <w:name w:val="Style13"/>
    <w:basedOn w:val="Normal"/>
    <w:rsid w:val="008D41E2"/>
    <w:pPr>
      <w:suppressAutoHyphens w:val="0"/>
      <w:autoSpaceDE w:val="0"/>
      <w:spacing w:after="0" w:line="917" w:lineRule="exact"/>
      <w:textAlignment w:val="auto"/>
    </w:pPr>
    <w:rPr>
      <w:rFonts w:ascii="Times New Roman" w:eastAsia="Calibri" w:hAnsi="Times New Roman" w:cs="Times New Roman"/>
      <w:kern w:val="0"/>
      <w:sz w:val="24"/>
      <w:szCs w:val="24"/>
      <w:lang w:eastAsia="bg-BG"/>
    </w:rPr>
  </w:style>
  <w:style w:type="paragraph" w:customStyle="1" w:styleId="Style12">
    <w:name w:val="Style12"/>
    <w:basedOn w:val="Normal"/>
    <w:rsid w:val="008D41E2"/>
    <w:pPr>
      <w:suppressAutoHyphens w:val="0"/>
      <w:autoSpaceDE w:val="0"/>
      <w:spacing w:after="0" w:line="1373" w:lineRule="exact"/>
      <w:textAlignment w:val="auto"/>
    </w:pPr>
    <w:rPr>
      <w:rFonts w:ascii="Times New Roman" w:eastAsia="Calibri" w:hAnsi="Times New Roman" w:cs="Times New Roman"/>
      <w:kern w:val="0"/>
      <w:sz w:val="24"/>
      <w:szCs w:val="24"/>
      <w:lang w:eastAsia="bg-BG"/>
    </w:rPr>
  </w:style>
  <w:style w:type="paragraph" w:customStyle="1" w:styleId="Style16">
    <w:name w:val="Style16"/>
    <w:basedOn w:val="Normal"/>
    <w:rsid w:val="008D41E2"/>
    <w:pPr>
      <w:suppressAutoHyphens w:val="0"/>
      <w:autoSpaceDE w:val="0"/>
      <w:spacing w:after="0" w:line="821" w:lineRule="exact"/>
      <w:textAlignment w:val="auto"/>
    </w:pPr>
    <w:rPr>
      <w:rFonts w:ascii="Times New Roman" w:eastAsia="Calibri" w:hAnsi="Times New Roman" w:cs="Times New Roman"/>
      <w:kern w:val="0"/>
      <w:sz w:val="24"/>
      <w:szCs w:val="24"/>
      <w:lang w:eastAsia="bg-BG"/>
    </w:rPr>
  </w:style>
  <w:style w:type="paragraph" w:customStyle="1" w:styleId="Style4">
    <w:name w:val="Style4"/>
    <w:basedOn w:val="Normal"/>
    <w:rsid w:val="008D41E2"/>
    <w:pPr>
      <w:suppressAutoHyphens w:val="0"/>
      <w:autoSpaceDE w:val="0"/>
      <w:spacing w:after="0" w:line="283" w:lineRule="exact"/>
      <w:textAlignment w:val="auto"/>
    </w:pPr>
    <w:rPr>
      <w:rFonts w:ascii="Times New Roman" w:eastAsia="Calibri" w:hAnsi="Times New Roman" w:cs="Times New Roman"/>
      <w:kern w:val="0"/>
      <w:sz w:val="24"/>
      <w:szCs w:val="24"/>
      <w:lang w:eastAsia="bg-BG"/>
    </w:rPr>
  </w:style>
  <w:style w:type="character" w:customStyle="1" w:styleId="FontStyle22">
    <w:name w:val="Font Style22"/>
    <w:rsid w:val="008D41E2"/>
    <w:rPr>
      <w:rFonts w:ascii="Times New Roman" w:hAnsi="Times New Roman" w:cs="Times New Roman"/>
      <w:sz w:val="20"/>
      <w:szCs w:val="20"/>
    </w:rPr>
  </w:style>
  <w:style w:type="paragraph" w:customStyle="1" w:styleId="Style11">
    <w:name w:val="Style11"/>
    <w:basedOn w:val="Normal"/>
    <w:rsid w:val="008D41E2"/>
    <w:pPr>
      <w:suppressAutoHyphens w:val="0"/>
      <w:autoSpaceDE w:val="0"/>
      <w:spacing w:after="0" w:line="264" w:lineRule="exact"/>
      <w:ind w:firstLine="130"/>
      <w:textAlignment w:val="auto"/>
    </w:pPr>
    <w:rPr>
      <w:rFonts w:ascii="Times New Roman" w:eastAsia="Calibri" w:hAnsi="Times New Roman" w:cs="Times New Roman"/>
      <w:kern w:val="0"/>
      <w:sz w:val="24"/>
      <w:szCs w:val="24"/>
      <w:lang w:eastAsia="bg-BG"/>
    </w:rPr>
  </w:style>
  <w:style w:type="paragraph" w:customStyle="1" w:styleId="Style9">
    <w:name w:val="Style9"/>
    <w:basedOn w:val="Normal"/>
    <w:rsid w:val="008D41E2"/>
    <w:pPr>
      <w:suppressAutoHyphens w:val="0"/>
      <w:autoSpaceDE w:val="0"/>
      <w:spacing w:after="0" w:line="256" w:lineRule="exact"/>
      <w:jc w:val="center"/>
      <w:textAlignment w:val="auto"/>
    </w:pPr>
    <w:rPr>
      <w:rFonts w:ascii="Times New Roman" w:eastAsia="Calibri" w:hAnsi="Times New Roman" w:cs="Times New Roman"/>
      <w:kern w:val="0"/>
      <w:sz w:val="24"/>
      <w:szCs w:val="24"/>
      <w:lang w:eastAsia="bg-BG"/>
    </w:rPr>
  </w:style>
  <w:style w:type="paragraph" w:customStyle="1" w:styleId="Style10">
    <w:name w:val="Style10"/>
    <w:basedOn w:val="Normal"/>
    <w:rsid w:val="008D41E2"/>
    <w:pPr>
      <w:suppressAutoHyphens w:val="0"/>
      <w:autoSpaceDE w:val="0"/>
      <w:spacing w:after="0" w:line="1104" w:lineRule="exact"/>
      <w:textAlignment w:val="auto"/>
    </w:pPr>
    <w:rPr>
      <w:rFonts w:ascii="Times New Roman" w:eastAsia="Calibri" w:hAnsi="Times New Roman" w:cs="Times New Roman"/>
      <w:kern w:val="0"/>
      <w:sz w:val="24"/>
      <w:szCs w:val="24"/>
      <w:lang w:eastAsia="bg-BG"/>
    </w:rPr>
  </w:style>
  <w:style w:type="character" w:styleId="Hyperlink">
    <w:name w:val="Hyperlink"/>
    <w:rsid w:val="008D41E2"/>
    <w:rPr>
      <w:rFonts w:cs="Times New Roman"/>
      <w:color w:val="0000FF"/>
      <w:u w:val="single"/>
    </w:rPr>
  </w:style>
  <w:style w:type="paragraph" w:customStyle="1" w:styleId="Style6">
    <w:name w:val="Style6"/>
    <w:basedOn w:val="Normal"/>
    <w:rsid w:val="008D41E2"/>
    <w:pPr>
      <w:suppressAutoHyphens w:val="0"/>
      <w:autoSpaceDE w:val="0"/>
      <w:spacing w:after="0" w:line="235" w:lineRule="exact"/>
      <w:textAlignment w:val="auto"/>
    </w:pPr>
    <w:rPr>
      <w:rFonts w:ascii="Times New Roman" w:eastAsia="Calibri" w:hAnsi="Times New Roman" w:cs="Times New Roman"/>
      <w:kern w:val="0"/>
      <w:sz w:val="24"/>
      <w:szCs w:val="24"/>
      <w:lang w:eastAsia="bg-BG"/>
    </w:rPr>
  </w:style>
  <w:style w:type="paragraph" w:customStyle="1" w:styleId="Style14">
    <w:name w:val="Style14"/>
    <w:basedOn w:val="Normal"/>
    <w:rsid w:val="008D41E2"/>
    <w:pPr>
      <w:suppressAutoHyphens w:val="0"/>
      <w:autoSpaceDE w:val="0"/>
      <w:spacing w:after="0" w:line="461" w:lineRule="exact"/>
      <w:textAlignment w:val="auto"/>
    </w:pPr>
    <w:rPr>
      <w:rFonts w:ascii="Times New Roman" w:eastAsia="Calibri" w:hAnsi="Times New Roman" w:cs="Times New Roman"/>
      <w:kern w:val="0"/>
      <w:sz w:val="24"/>
      <w:szCs w:val="24"/>
      <w:lang w:eastAsia="bg-BG"/>
    </w:rPr>
  </w:style>
  <w:style w:type="paragraph" w:customStyle="1" w:styleId="titlesgrey">
    <w:name w:val="titles grey"/>
    <w:basedOn w:val="Normal"/>
    <w:rsid w:val="008D41E2"/>
    <w:pPr>
      <w:widowControl/>
      <w:suppressAutoHyphens w:val="0"/>
      <w:spacing w:before="100" w:after="100" w:line="240" w:lineRule="auto"/>
      <w:textAlignment w:val="auto"/>
    </w:pPr>
    <w:rPr>
      <w:rFonts w:ascii="Times New Roman" w:eastAsia="Times New Roman" w:hAnsi="Times New Roman" w:cs="Times New Roman"/>
      <w:kern w:val="0"/>
      <w:sz w:val="24"/>
      <w:szCs w:val="24"/>
      <w:lang w:eastAsia="bg-BG"/>
    </w:rPr>
  </w:style>
  <w:style w:type="character" w:customStyle="1" w:styleId="HeaderChar">
    <w:name w:val="Header Char"/>
    <w:rsid w:val="008D41E2"/>
    <w:rPr>
      <w:rFonts w:ascii="Times New Roman" w:eastAsia="Times New Roman" w:hAnsi="Times New Roman" w:cs="Times New Roman"/>
      <w:sz w:val="24"/>
      <w:szCs w:val="24"/>
      <w:lang w:eastAsia="bg-BG"/>
    </w:rPr>
  </w:style>
  <w:style w:type="character" w:styleId="Strong">
    <w:name w:val="Strong"/>
    <w:rsid w:val="008D41E2"/>
    <w:rPr>
      <w:b/>
      <w:bCs/>
    </w:rPr>
  </w:style>
  <w:style w:type="character" w:customStyle="1" w:styleId="BalloonTextChar">
    <w:name w:val="Balloon Text Char"/>
    <w:rsid w:val="008D41E2"/>
    <w:rPr>
      <w:rFonts w:ascii="Tahoma" w:eastAsia="Times New Roman" w:hAnsi="Tahoma" w:cs="Tahoma"/>
      <w:sz w:val="16"/>
      <w:szCs w:val="16"/>
      <w:lang w:eastAsia="ar-SA"/>
    </w:rPr>
  </w:style>
  <w:style w:type="paragraph" w:styleId="NoSpacing">
    <w:name w:val="No Spacing"/>
    <w:rsid w:val="008D41E2"/>
    <w:pPr>
      <w:spacing w:after="0" w:line="240" w:lineRule="auto"/>
    </w:pPr>
  </w:style>
  <w:style w:type="numbering" w:customStyle="1" w:styleId="WWNum111">
    <w:name w:val="WWNum111"/>
    <w:basedOn w:val="NoList"/>
    <w:rsid w:val="008D41E2"/>
    <w:pPr>
      <w:numPr>
        <w:numId w:val="68"/>
      </w:numPr>
    </w:pPr>
  </w:style>
  <w:style w:type="numbering" w:customStyle="1" w:styleId="WWNum210">
    <w:name w:val="WWNum210"/>
    <w:basedOn w:val="NoList"/>
    <w:rsid w:val="008D41E2"/>
    <w:pPr>
      <w:numPr>
        <w:numId w:val="69"/>
      </w:numPr>
    </w:pPr>
  </w:style>
  <w:style w:type="numbering" w:customStyle="1" w:styleId="WWNum31">
    <w:name w:val="WWNum31"/>
    <w:basedOn w:val="NoList"/>
    <w:rsid w:val="008D41E2"/>
    <w:pPr>
      <w:numPr>
        <w:numId w:val="70"/>
      </w:numPr>
    </w:pPr>
  </w:style>
  <w:style w:type="numbering" w:customStyle="1" w:styleId="WWNum41">
    <w:name w:val="WWNum41"/>
    <w:basedOn w:val="NoList"/>
    <w:rsid w:val="008D41E2"/>
    <w:pPr>
      <w:numPr>
        <w:numId w:val="71"/>
      </w:numPr>
    </w:pPr>
  </w:style>
  <w:style w:type="numbering" w:customStyle="1" w:styleId="WWNum51">
    <w:name w:val="WWNum51"/>
    <w:basedOn w:val="NoList"/>
    <w:rsid w:val="008D41E2"/>
    <w:pPr>
      <w:numPr>
        <w:numId w:val="72"/>
      </w:numPr>
    </w:pPr>
  </w:style>
  <w:style w:type="numbering" w:customStyle="1" w:styleId="WWNum61">
    <w:name w:val="WWNum61"/>
    <w:basedOn w:val="NoList"/>
    <w:rsid w:val="008D41E2"/>
    <w:pPr>
      <w:numPr>
        <w:numId w:val="73"/>
      </w:numPr>
    </w:pPr>
  </w:style>
  <w:style w:type="numbering" w:customStyle="1" w:styleId="WWNum71">
    <w:name w:val="WWNum71"/>
    <w:basedOn w:val="NoList"/>
    <w:rsid w:val="008D41E2"/>
    <w:pPr>
      <w:numPr>
        <w:numId w:val="74"/>
      </w:numPr>
    </w:pPr>
  </w:style>
  <w:style w:type="numbering" w:customStyle="1" w:styleId="WWNum81">
    <w:name w:val="WWNum81"/>
    <w:basedOn w:val="NoList"/>
    <w:rsid w:val="008D41E2"/>
    <w:pPr>
      <w:numPr>
        <w:numId w:val="75"/>
      </w:numPr>
    </w:pPr>
  </w:style>
  <w:style w:type="numbering" w:customStyle="1" w:styleId="WWNum91">
    <w:name w:val="WWNum91"/>
    <w:basedOn w:val="NoList"/>
    <w:rsid w:val="008D41E2"/>
    <w:pPr>
      <w:numPr>
        <w:numId w:val="76"/>
      </w:numPr>
    </w:pPr>
  </w:style>
  <w:style w:type="numbering" w:customStyle="1" w:styleId="WWNum101">
    <w:name w:val="WWNum101"/>
    <w:basedOn w:val="NoList"/>
    <w:rsid w:val="008D41E2"/>
    <w:pPr>
      <w:numPr>
        <w:numId w:val="77"/>
      </w:numPr>
    </w:pPr>
  </w:style>
  <w:style w:type="numbering" w:customStyle="1" w:styleId="WWNum112">
    <w:name w:val="WWNum112"/>
    <w:basedOn w:val="NoList"/>
    <w:rsid w:val="008D41E2"/>
    <w:pPr>
      <w:numPr>
        <w:numId w:val="78"/>
      </w:numPr>
    </w:pPr>
  </w:style>
  <w:style w:type="numbering" w:customStyle="1" w:styleId="WWNum121">
    <w:name w:val="WWNum121"/>
    <w:basedOn w:val="NoList"/>
    <w:rsid w:val="008D41E2"/>
    <w:pPr>
      <w:numPr>
        <w:numId w:val="79"/>
      </w:numPr>
    </w:pPr>
  </w:style>
  <w:style w:type="numbering" w:customStyle="1" w:styleId="WWNum131">
    <w:name w:val="WWNum131"/>
    <w:basedOn w:val="NoList"/>
    <w:rsid w:val="008D41E2"/>
    <w:pPr>
      <w:numPr>
        <w:numId w:val="80"/>
      </w:numPr>
    </w:pPr>
  </w:style>
  <w:style w:type="numbering" w:customStyle="1" w:styleId="WWNum141">
    <w:name w:val="WWNum141"/>
    <w:basedOn w:val="NoList"/>
    <w:rsid w:val="008D41E2"/>
    <w:pPr>
      <w:numPr>
        <w:numId w:val="81"/>
      </w:numPr>
    </w:pPr>
  </w:style>
  <w:style w:type="numbering" w:customStyle="1" w:styleId="WWNum151">
    <w:name w:val="WWNum151"/>
    <w:basedOn w:val="NoList"/>
    <w:rsid w:val="008D41E2"/>
    <w:pPr>
      <w:numPr>
        <w:numId w:val="82"/>
      </w:numPr>
    </w:pPr>
  </w:style>
  <w:style w:type="numbering" w:customStyle="1" w:styleId="WWNum161">
    <w:name w:val="WWNum161"/>
    <w:basedOn w:val="NoList"/>
    <w:rsid w:val="008D41E2"/>
    <w:pPr>
      <w:numPr>
        <w:numId w:val="83"/>
      </w:numPr>
    </w:pPr>
  </w:style>
  <w:style w:type="numbering" w:customStyle="1" w:styleId="WWNum171">
    <w:name w:val="WWNum171"/>
    <w:basedOn w:val="NoList"/>
    <w:rsid w:val="008D41E2"/>
    <w:pPr>
      <w:numPr>
        <w:numId w:val="84"/>
      </w:numPr>
    </w:pPr>
  </w:style>
  <w:style w:type="numbering" w:customStyle="1" w:styleId="WWNum181">
    <w:name w:val="WWNum181"/>
    <w:basedOn w:val="NoList"/>
    <w:rsid w:val="008D41E2"/>
    <w:pPr>
      <w:numPr>
        <w:numId w:val="85"/>
      </w:numPr>
    </w:pPr>
  </w:style>
  <w:style w:type="numbering" w:customStyle="1" w:styleId="WWNum191">
    <w:name w:val="WWNum191"/>
    <w:basedOn w:val="NoList"/>
    <w:rsid w:val="008D41E2"/>
    <w:pPr>
      <w:numPr>
        <w:numId w:val="86"/>
      </w:numPr>
    </w:pPr>
  </w:style>
  <w:style w:type="numbering" w:customStyle="1" w:styleId="WWNum201">
    <w:name w:val="WWNum201"/>
    <w:basedOn w:val="NoList"/>
    <w:rsid w:val="008D41E2"/>
    <w:pPr>
      <w:numPr>
        <w:numId w:val="87"/>
      </w:numPr>
    </w:pPr>
  </w:style>
  <w:style w:type="numbering" w:customStyle="1" w:styleId="WWNum211">
    <w:name w:val="WWNum211"/>
    <w:basedOn w:val="NoList"/>
    <w:rsid w:val="008D41E2"/>
    <w:pPr>
      <w:numPr>
        <w:numId w:val="88"/>
      </w:numPr>
    </w:pPr>
  </w:style>
  <w:style w:type="numbering" w:customStyle="1" w:styleId="WWNum222">
    <w:name w:val="WWNum222"/>
    <w:basedOn w:val="NoList"/>
    <w:rsid w:val="008D41E2"/>
    <w:pPr>
      <w:numPr>
        <w:numId w:val="89"/>
      </w:numPr>
    </w:pPr>
  </w:style>
  <w:style w:type="numbering" w:customStyle="1" w:styleId="WWNum231">
    <w:name w:val="WWNum231"/>
    <w:basedOn w:val="NoList"/>
    <w:rsid w:val="008D41E2"/>
    <w:pPr>
      <w:numPr>
        <w:numId w:val="90"/>
      </w:numPr>
    </w:pPr>
  </w:style>
  <w:style w:type="numbering" w:customStyle="1" w:styleId="WWNum241">
    <w:name w:val="WWNum241"/>
    <w:basedOn w:val="NoList"/>
    <w:rsid w:val="008D41E2"/>
    <w:pPr>
      <w:numPr>
        <w:numId w:val="91"/>
      </w:numPr>
    </w:pPr>
  </w:style>
  <w:style w:type="numbering" w:customStyle="1" w:styleId="WWNum251">
    <w:name w:val="WWNum251"/>
    <w:basedOn w:val="NoList"/>
    <w:rsid w:val="008D41E2"/>
    <w:pPr>
      <w:numPr>
        <w:numId w:val="92"/>
      </w:numPr>
    </w:pPr>
  </w:style>
  <w:style w:type="numbering" w:customStyle="1" w:styleId="WWNum261">
    <w:name w:val="WWNum261"/>
    <w:basedOn w:val="NoList"/>
    <w:rsid w:val="008D41E2"/>
    <w:pPr>
      <w:numPr>
        <w:numId w:val="93"/>
      </w:numPr>
    </w:pPr>
  </w:style>
  <w:style w:type="numbering" w:customStyle="1" w:styleId="WWNum271">
    <w:name w:val="WWNum271"/>
    <w:basedOn w:val="NoList"/>
    <w:rsid w:val="008D41E2"/>
    <w:pPr>
      <w:numPr>
        <w:numId w:val="94"/>
      </w:numPr>
    </w:pPr>
  </w:style>
  <w:style w:type="numbering" w:customStyle="1" w:styleId="WWNum281">
    <w:name w:val="WWNum281"/>
    <w:basedOn w:val="NoList"/>
    <w:rsid w:val="008D41E2"/>
    <w:pPr>
      <w:numPr>
        <w:numId w:val="95"/>
      </w:numPr>
    </w:pPr>
  </w:style>
  <w:style w:type="numbering" w:customStyle="1" w:styleId="WWNum291">
    <w:name w:val="WWNum291"/>
    <w:basedOn w:val="NoList"/>
    <w:rsid w:val="008D41E2"/>
    <w:pPr>
      <w:numPr>
        <w:numId w:val="96"/>
      </w:numPr>
    </w:pPr>
  </w:style>
  <w:style w:type="numbering" w:customStyle="1" w:styleId="WWNum301">
    <w:name w:val="WWNum301"/>
    <w:basedOn w:val="NoList"/>
    <w:rsid w:val="008D41E2"/>
    <w:pPr>
      <w:numPr>
        <w:numId w:val="9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Arial Unicode MS" w:hAnsi="Calibri" w:cs="Calibri"/>
        <w:kern w:val="3"/>
        <w:sz w:val="22"/>
        <w:szCs w:val="22"/>
        <w:lang w:val="bg-BG"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Cite"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Standard"/>
    <w:next w:val="Textbody"/>
    <w:pPr>
      <w:keepNext/>
      <w:keepLines/>
      <w:spacing w:before="480"/>
      <w:outlineLvl w:val="0"/>
    </w:pPr>
    <w:rPr>
      <w:rFonts w:ascii="Cambria" w:hAnsi="Cambria" w:cs="F"/>
      <w:b/>
      <w:bCs/>
      <w:color w:val="365F91"/>
      <w:sz w:val="28"/>
      <w:szCs w:val="28"/>
    </w:rPr>
  </w:style>
  <w:style w:type="paragraph" w:styleId="Heading2">
    <w:name w:val="heading 2"/>
    <w:basedOn w:val="Standard"/>
    <w:next w:val="Textbody"/>
    <w:pPr>
      <w:keepNext/>
      <w:keepLines/>
      <w:spacing w:before="200"/>
      <w:outlineLvl w:val="1"/>
    </w:pPr>
    <w:rPr>
      <w:rFonts w:ascii="Cambria" w:hAnsi="Cambria" w:cs="F"/>
      <w:b/>
      <w:bCs/>
      <w:color w:val="4F81BD"/>
      <w:sz w:val="26"/>
      <w:szCs w:val="26"/>
    </w:rPr>
  </w:style>
  <w:style w:type="paragraph" w:styleId="Heading3">
    <w:name w:val="heading 3"/>
    <w:basedOn w:val="Standard"/>
    <w:next w:val="Textbody"/>
    <w:qFormat/>
    <w:pPr>
      <w:spacing w:before="100" w:after="100"/>
      <w:outlineLvl w:val="2"/>
    </w:pPr>
    <w:rPr>
      <w:b/>
      <w:bCs/>
      <w:sz w:val="27"/>
      <w:szCs w:val="27"/>
    </w:rPr>
  </w:style>
  <w:style w:type="paragraph" w:styleId="Heading4">
    <w:name w:val="heading 4"/>
    <w:basedOn w:val="Standard"/>
    <w:next w:val="Textbody"/>
    <w:qFormat/>
    <w:pPr>
      <w:keepNext/>
      <w:keepLines/>
      <w:spacing w:before="200"/>
      <w:outlineLvl w:val="3"/>
    </w:pPr>
    <w:rPr>
      <w:rFonts w:ascii="Cambria" w:hAnsi="Cambria" w:cs="F"/>
      <w:b/>
      <w:bCs/>
      <w:i/>
      <w:iCs/>
      <w:color w:val="4F81BD"/>
    </w:rPr>
  </w:style>
  <w:style w:type="paragraph" w:styleId="Heading5">
    <w:name w:val="heading 5"/>
    <w:basedOn w:val="Standard"/>
    <w:next w:val="Textbody"/>
    <w:qFormat/>
    <w:pPr>
      <w:spacing w:before="240" w:after="60"/>
      <w:outlineLvl w:val="4"/>
    </w:pPr>
    <w:rPr>
      <w:rFonts w:ascii="Arial" w:hAnsi="Arial"/>
      <w:b/>
      <w:bCs/>
      <w:i/>
      <w:iCs/>
      <w:sz w:val="26"/>
      <w:szCs w:val="26"/>
      <w:lang w:val="en-US" w:eastAsia="en-US"/>
    </w:rPr>
  </w:style>
  <w:style w:type="paragraph" w:styleId="Heading6">
    <w:name w:val="heading 6"/>
    <w:basedOn w:val="Heading5"/>
    <w:next w:val="Normal"/>
    <w:link w:val="Heading6Char"/>
    <w:qFormat/>
    <w:rsid w:val="00AC39E9"/>
    <w:pPr>
      <w:keepNext/>
      <w:tabs>
        <w:tab w:val="left" w:pos="567"/>
      </w:tabs>
      <w:suppressAutoHyphens w:val="0"/>
      <w:autoSpaceDN/>
      <w:ind w:left="4320" w:hanging="360"/>
      <w:textAlignment w:val="auto"/>
      <w:outlineLvl w:val="5"/>
    </w:pPr>
    <w:rPr>
      <w:b w:val="0"/>
      <w:bCs w:val="0"/>
      <w:iCs w:val="0"/>
      <w:noProof/>
      <w:color w:val="000000"/>
      <w:kern w:val="0"/>
      <w:sz w:val="22"/>
      <w:szCs w:val="20"/>
      <w:lang w:val="fr-BE"/>
    </w:rPr>
  </w:style>
  <w:style w:type="paragraph" w:styleId="Heading7">
    <w:name w:val="heading 7"/>
    <w:basedOn w:val="Heading6"/>
    <w:next w:val="Normal"/>
    <w:link w:val="Heading7Char"/>
    <w:qFormat/>
    <w:rsid w:val="00AC39E9"/>
    <w:pPr>
      <w:ind w:left="5040"/>
      <w:outlineLvl w:val="6"/>
    </w:pPr>
    <w:rPr>
      <w:i w:val="0"/>
    </w:rPr>
  </w:style>
  <w:style w:type="paragraph" w:styleId="Heading8">
    <w:name w:val="heading 8"/>
    <w:basedOn w:val="Heading7"/>
    <w:next w:val="Normal"/>
    <w:link w:val="Heading8Char"/>
    <w:qFormat/>
    <w:rsid w:val="00AC39E9"/>
    <w:pPr>
      <w:ind w:left="5760"/>
      <w:outlineLvl w:val="7"/>
    </w:pPr>
    <w:rPr>
      <w:rFonts w:ascii="Calibri" w:hAnsi="Calibri"/>
      <w:b/>
      <w:i/>
      <w:sz w:val="24"/>
    </w:rPr>
  </w:style>
  <w:style w:type="paragraph" w:styleId="Heading9">
    <w:name w:val="heading 9"/>
    <w:basedOn w:val="Heading8"/>
    <w:next w:val="Normal"/>
    <w:link w:val="Heading9Char"/>
    <w:qFormat/>
    <w:rsid w:val="00AC39E9"/>
    <w:pPr>
      <w:ind w:left="6480"/>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0" w:line="240" w:lineRule="auto"/>
    </w:pPr>
    <w:rPr>
      <w:rFonts w:ascii="Times New Roman" w:eastAsia="Times New Roman" w:hAnsi="Times New Roman" w:cs="Times New Roman"/>
      <w:sz w:val="24"/>
      <w:szCs w:val="24"/>
      <w:lang w:eastAsia="bg-BG"/>
    </w:rPr>
  </w:style>
  <w:style w:type="paragraph" w:customStyle="1" w:styleId="Heading">
    <w:name w:val="Heading"/>
    <w:basedOn w:val="Standard"/>
    <w:next w:val="Textbody"/>
    <w:pPr>
      <w:keepNext/>
      <w:spacing w:before="240" w:after="120" w:line="100" w:lineRule="atLeast"/>
    </w:pPr>
    <w:rPr>
      <w:rFonts w:ascii="Arial" w:eastAsia="Microsoft YaHei" w:hAnsi="Arial" w:cs="Arial"/>
      <w:sz w:val="28"/>
      <w:szCs w:val="28"/>
      <w:lang w:eastAsia="ar-SA"/>
    </w:rPr>
  </w:style>
  <w:style w:type="paragraph" w:customStyle="1" w:styleId="Textbody">
    <w:name w:val="Text body"/>
    <w:basedOn w:val="Standard"/>
    <w:pPr>
      <w:spacing w:after="120" w:line="100" w:lineRule="atLeast"/>
    </w:pPr>
    <w:rPr>
      <w:lang w:eastAsia="ar-SA"/>
    </w:rPr>
  </w:style>
  <w:style w:type="paragraph" w:styleId="List">
    <w:name w:val="List"/>
    <w:basedOn w:val="Textbody"/>
    <w:rPr>
      <w:rFonts w:cs="Arial"/>
    </w:rPr>
  </w:style>
  <w:style w:type="paragraph" w:styleId="Caption">
    <w:name w:val="caption"/>
    <w:basedOn w:val="Standard"/>
    <w:pPr>
      <w:suppressLineNumbers/>
      <w:spacing w:before="120" w:after="120" w:line="100" w:lineRule="atLeast"/>
    </w:pPr>
    <w:rPr>
      <w:rFonts w:cs="Arial"/>
      <w:i/>
      <w:iCs/>
      <w:lang w:eastAsia="ar-SA"/>
    </w:rPr>
  </w:style>
  <w:style w:type="paragraph" w:customStyle="1" w:styleId="Index">
    <w:name w:val="Index"/>
    <w:basedOn w:val="Standard"/>
    <w:pPr>
      <w:suppressLineNumbers/>
      <w:spacing w:line="100" w:lineRule="atLeast"/>
    </w:pPr>
    <w:rPr>
      <w:rFonts w:cs="Arial"/>
      <w:lang w:eastAsia="ar-SA"/>
    </w:rPr>
  </w:style>
  <w:style w:type="paragraph" w:styleId="BalloonText">
    <w:name w:val="Balloon Text"/>
    <w:basedOn w:val="Standard"/>
    <w:pPr>
      <w:spacing w:line="100" w:lineRule="atLeast"/>
    </w:pPr>
    <w:rPr>
      <w:rFonts w:ascii="Tahoma" w:hAnsi="Tahoma" w:cs="Tahoma"/>
      <w:sz w:val="16"/>
      <w:szCs w:val="16"/>
      <w:lang w:eastAsia="ar-SA"/>
    </w:rPr>
  </w:style>
  <w:style w:type="paragraph" w:styleId="ListParagraph">
    <w:name w:val="List Paragraph"/>
    <w:basedOn w:val="Standard"/>
    <w:pPr>
      <w:spacing w:line="100" w:lineRule="atLeast"/>
      <w:ind w:left="720"/>
    </w:pPr>
    <w:rPr>
      <w:lang w:eastAsia="ar-SA"/>
    </w:rPr>
  </w:style>
  <w:style w:type="paragraph" w:styleId="NormalWeb">
    <w:name w:val="Normal (Web)"/>
    <w:basedOn w:val="Standard"/>
    <w:pPr>
      <w:spacing w:before="100" w:after="100" w:line="100" w:lineRule="atLeast"/>
    </w:pPr>
    <w:rPr>
      <w:lang w:eastAsia="ar-SA"/>
    </w:rPr>
  </w:style>
  <w:style w:type="paragraph" w:styleId="Footer">
    <w:name w:val="footer"/>
    <w:basedOn w:val="Standard"/>
    <w:link w:val="FooterChar"/>
    <w:pPr>
      <w:suppressLineNumbers/>
      <w:tabs>
        <w:tab w:val="center" w:pos="4536"/>
        <w:tab w:val="right" w:pos="9072"/>
      </w:tabs>
    </w:pPr>
  </w:style>
  <w:style w:type="paragraph" w:styleId="Header">
    <w:name w:val="header"/>
    <w:basedOn w:val="Standard"/>
    <w:pPr>
      <w:suppressLineNumbers/>
      <w:tabs>
        <w:tab w:val="center" w:pos="4536"/>
        <w:tab w:val="right" w:pos="9072"/>
      </w:tabs>
    </w:pPr>
  </w:style>
  <w:style w:type="paragraph" w:styleId="HTMLPreformatted">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pPr>
    <w:rPr>
      <w:rFonts w:ascii="Courier New" w:hAnsi="Courier New" w:cs="Courier New"/>
      <w:sz w:val="20"/>
      <w:szCs w:val="20"/>
      <w:lang w:eastAsia="ar-SA"/>
    </w:rPr>
  </w:style>
  <w:style w:type="paragraph" w:styleId="BodyText2">
    <w:name w:val="Body Text 2"/>
    <w:basedOn w:val="Standard"/>
    <w:pPr>
      <w:jc w:val="both"/>
    </w:pPr>
    <w:rPr>
      <w:szCs w:val="20"/>
      <w:lang w:eastAsia="en-US"/>
    </w:rPr>
  </w:style>
  <w:style w:type="paragraph" w:styleId="DocumentMap">
    <w:name w:val="Document Map"/>
    <w:basedOn w:val="Standard"/>
    <w:pPr>
      <w:shd w:val="clear" w:color="auto" w:fill="000080"/>
    </w:pPr>
    <w:rPr>
      <w:rFonts w:ascii="Tahoma" w:hAnsi="Tahoma" w:cs="Tahoma"/>
      <w:sz w:val="20"/>
      <w:szCs w:val="20"/>
      <w:lang w:val="en-US" w:eastAsia="en-US"/>
    </w:rPr>
  </w:style>
  <w:style w:type="paragraph" w:customStyle="1" w:styleId="CharChar1">
    <w:name w:val="Char Char1"/>
    <w:basedOn w:val="Standard"/>
    <w:pPr>
      <w:tabs>
        <w:tab w:val="left" w:pos="709"/>
      </w:tabs>
    </w:pPr>
    <w:rPr>
      <w:rFonts w:ascii="Tahoma" w:hAnsi="Tahoma"/>
      <w:lang w:val="pl-PL" w:eastAsia="pl-PL"/>
    </w:rPr>
  </w:style>
  <w:style w:type="paragraph" w:customStyle="1" w:styleId="CharCharCharCharCharChar">
    <w:name w:val="Char Char Char Char Char Char"/>
    <w:basedOn w:val="Standard"/>
    <w:pPr>
      <w:tabs>
        <w:tab w:val="left" w:pos="709"/>
      </w:tabs>
    </w:pPr>
    <w:rPr>
      <w:rFonts w:ascii="Tahoma" w:hAnsi="Tahoma"/>
      <w:lang w:val="pl-PL" w:eastAsia="pl-PL"/>
    </w:rPr>
  </w:style>
  <w:style w:type="paragraph" w:customStyle="1" w:styleId="1CharChar1CharCharCharChar1">
    <w:name w:val="Знак Знак1 Char Char1 Знак Знак Char Char Знак Знак Char Char1 Знак Знак"/>
    <w:basedOn w:val="Standard"/>
    <w:pPr>
      <w:tabs>
        <w:tab w:val="left" w:pos="709"/>
      </w:tabs>
    </w:pPr>
    <w:rPr>
      <w:rFonts w:ascii="Tahoma" w:hAnsi="Tahoma"/>
      <w:lang w:val="pl-PL" w:eastAsia="pl-PL"/>
    </w:rPr>
  </w:style>
  <w:style w:type="character" w:customStyle="1" w:styleId="1">
    <w:name w:val="Заглавие 1 Знак"/>
    <w:basedOn w:val="DefaultParagraphFont"/>
    <w:rPr>
      <w:rFonts w:ascii="Cambria" w:hAnsi="Cambria" w:cs="F"/>
      <w:b/>
      <w:bCs/>
      <w:color w:val="365F91"/>
      <w:sz w:val="28"/>
      <w:szCs w:val="28"/>
      <w:lang w:eastAsia="bg-BG"/>
    </w:rPr>
  </w:style>
  <w:style w:type="character" w:customStyle="1" w:styleId="2">
    <w:name w:val="Заглавие 2 Знак"/>
    <w:basedOn w:val="DefaultParagraphFont"/>
    <w:rPr>
      <w:rFonts w:ascii="Cambria" w:hAnsi="Cambria" w:cs="F"/>
      <w:b/>
      <w:bCs/>
      <w:color w:val="4F81BD"/>
      <w:sz w:val="26"/>
      <w:szCs w:val="26"/>
      <w:lang w:eastAsia="bg-BG"/>
    </w:rPr>
  </w:style>
  <w:style w:type="character" w:customStyle="1" w:styleId="3">
    <w:name w:val="Заглавие 3 Знак"/>
    <w:basedOn w:val="DefaultParagraphFont"/>
    <w:rPr>
      <w:rFonts w:ascii="Times New Roman" w:eastAsia="Times New Roman" w:hAnsi="Times New Roman" w:cs="Times New Roman"/>
      <w:b/>
      <w:bCs/>
      <w:sz w:val="27"/>
      <w:szCs w:val="27"/>
      <w:lang w:eastAsia="bg-BG"/>
    </w:rPr>
  </w:style>
  <w:style w:type="character" w:customStyle="1" w:styleId="4">
    <w:name w:val="Заглавие 4 Знак"/>
    <w:basedOn w:val="DefaultParagraphFont"/>
    <w:rPr>
      <w:rFonts w:ascii="Cambria" w:hAnsi="Cambria" w:cs="F"/>
      <w:b/>
      <w:bCs/>
      <w:i/>
      <w:iCs/>
      <w:color w:val="4F81BD"/>
      <w:sz w:val="24"/>
      <w:szCs w:val="24"/>
      <w:lang w:eastAsia="bg-BG"/>
    </w:rPr>
  </w:style>
  <w:style w:type="character" w:customStyle="1" w:styleId="a">
    <w:name w:val="Изнесен текст Знак"/>
    <w:basedOn w:val="DefaultParagraphFont"/>
    <w:rPr>
      <w:rFonts w:ascii="Tahoma" w:eastAsia="Times New Roman" w:hAnsi="Tahoma" w:cs="Tahoma"/>
      <w:sz w:val="16"/>
      <w:szCs w:val="16"/>
      <w:lang w:eastAsia="bg-BG"/>
    </w:rPr>
  </w:style>
  <w:style w:type="character" w:customStyle="1" w:styleId="st">
    <w:name w:val="st"/>
    <w:basedOn w:val="DefaultParagraphFont"/>
  </w:style>
  <w:style w:type="character" w:styleId="Emphasis">
    <w:name w:val="Emphasis"/>
    <w:basedOn w:val="DefaultParagraphFont"/>
    <w:rPr>
      <w:i/>
      <w:iCs/>
    </w:rPr>
  </w:style>
  <w:style w:type="character" w:customStyle="1" w:styleId="Internetlink">
    <w:name w:val="Internet link"/>
    <w:basedOn w:val="DefaultParagraphFont"/>
    <w:rPr>
      <w:color w:val="0000FF"/>
      <w:u w:val="single"/>
    </w:rPr>
  </w:style>
  <w:style w:type="character" w:customStyle="1" w:styleId="StrongEmphasis">
    <w:name w:val="Strong Emphasis"/>
    <w:basedOn w:val="DefaultParagraphFont"/>
    <w:rPr>
      <w:b/>
      <w:bCs/>
    </w:rPr>
  </w:style>
  <w:style w:type="character" w:customStyle="1" w:styleId="a0">
    <w:name w:val="Долен колонтитул Знак"/>
    <w:basedOn w:val="DefaultParagraphFont"/>
    <w:rPr>
      <w:rFonts w:ascii="Times New Roman" w:eastAsia="Times New Roman" w:hAnsi="Times New Roman" w:cs="Times New Roman"/>
      <w:sz w:val="24"/>
      <w:szCs w:val="24"/>
      <w:lang w:eastAsia="bg-BG"/>
    </w:rPr>
  </w:style>
  <w:style w:type="character" w:customStyle="1" w:styleId="a1">
    <w:name w:val="Горен колонтитул Знак"/>
    <w:basedOn w:val="DefaultParagraphFont"/>
    <w:rPr>
      <w:rFonts w:ascii="Times New Roman" w:eastAsia="Times New Roman" w:hAnsi="Times New Roman" w:cs="Times New Roman"/>
      <w:sz w:val="24"/>
      <w:szCs w:val="24"/>
      <w:lang w:eastAsia="bg-BG"/>
    </w:rPr>
  </w:style>
  <w:style w:type="character" w:styleId="HTMLCite">
    <w:name w:val="HTML Cite"/>
    <w:basedOn w:val="DefaultParagraphFont"/>
    <w:rPr>
      <w:i/>
      <w:iCs/>
    </w:rPr>
  </w:style>
  <w:style w:type="character" w:customStyle="1" w:styleId="HTML">
    <w:name w:val="HTML стандартен Знак"/>
    <w:basedOn w:val="DefaultParagraphFont"/>
    <w:rPr>
      <w:rFonts w:ascii="Courier New" w:eastAsia="Times New Roman" w:hAnsi="Courier New" w:cs="Courier New"/>
      <w:sz w:val="20"/>
      <w:szCs w:val="20"/>
      <w:lang w:eastAsia="bg-BG"/>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b/>
    </w:rPr>
  </w:style>
  <w:style w:type="character" w:customStyle="1" w:styleId="ListLabel4">
    <w:name w:val="ListLabel 4"/>
    <w:rPr>
      <w:b w:val="0"/>
    </w:rPr>
  </w:style>
  <w:style w:type="character" w:customStyle="1" w:styleId="ListLabel5">
    <w:name w:val="ListLabel 5"/>
    <w:rPr>
      <w:rFonts w:eastAsia="MS Mincho" w:cs="Times New Roman"/>
    </w:rPr>
  </w:style>
  <w:style w:type="character" w:customStyle="1" w:styleId="ListLabel6">
    <w:name w:val="ListLabel 6"/>
    <w:rPr>
      <w:rFonts w:eastAsia="Times New Roman" w:cs="Times New Roman"/>
      <w:b w:val="0"/>
    </w:rPr>
  </w:style>
  <w:style w:type="character" w:customStyle="1" w:styleId="ListLabel7">
    <w:name w:val="ListLabel 7"/>
    <w:rPr>
      <w:color w:val="00000A"/>
    </w:rPr>
  </w:style>
  <w:style w:type="character" w:customStyle="1" w:styleId="a2">
    <w:name w:val="Основен текст Знак"/>
    <w:basedOn w:val="DefaultParagraphFont"/>
    <w:rPr>
      <w:rFonts w:ascii="Times New Roman" w:eastAsia="Times New Roman" w:hAnsi="Times New Roman" w:cs="Times New Roman"/>
      <w:sz w:val="24"/>
      <w:szCs w:val="24"/>
      <w:lang w:eastAsia="ar-SA"/>
    </w:rPr>
  </w:style>
  <w:style w:type="character" w:customStyle="1" w:styleId="5">
    <w:name w:val="Заглавие 5 Знак"/>
    <w:basedOn w:val="DefaultParagraphFont"/>
    <w:rPr>
      <w:rFonts w:ascii="Arial" w:eastAsia="Times New Roman" w:hAnsi="Arial" w:cs="Times New Roman"/>
      <w:b/>
      <w:bCs/>
      <w:i/>
      <w:iCs/>
      <w:sz w:val="26"/>
      <w:szCs w:val="26"/>
      <w:lang w:val="en-US"/>
    </w:rPr>
  </w:style>
  <w:style w:type="character" w:customStyle="1" w:styleId="20">
    <w:name w:val="Основен текст 2 Знак"/>
    <w:basedOn w:val="DefaultParagraphFont"/>
    <w:rPr>
      <w:rFonts w:ascii="Times New Roman" w:eastAsia="Times New Roman" w:hAnsi="Times New Roman" w:cs="Times New Roman"/>
      <w:sz w:val="24"/>
      <w:szCs w:val="20"/>
    </w:rPr>
  </w:style>
  <w:style w:type="character" w:customStyle="1" w:styleId="a3">
    <w:name w:val="План на документа Знак"/>
    <w:basedOn w:val="DefaultParagraphFont"/>
    <w:rPr>
      <w:rFonts w:ascii="Tahoma" w:eastAsia="Times New Roman" w:hAnsi="Tahoma" w:cs="Tahoma"/>
      <w:sz w:val="20"/>
      <w:szCs w:val="20"/>
      <w:lang w:val="en-US"/>
    </w:rPr>
  </w:style>
  <w:style w:type="character" w:styleId="PageNumber">
    <w:name w:val="page number"/>
    <w:rPr>
      <w:rFonts w:cs="Times New Roman"/>
    </w:rPr>
  </w:style>
  <w:style w:type="character" w:customStyle="1" w:styleId="desi">
    <w:name w:val="desi"/>
    <w:rPr>
      <w:rFonts w:ascii="Arial" w:hAnsi="Arial"/>
      <w:color w:val="00000A"/>
      <w:sz w:val="20"/>
    </w:rPr>
  </w:style>
  <w:style w:type="character" w:customStyle="1" w:styleId="ListLabel8">
    <w:name w:val="ListLabel 8"/>
    <w:rPr>
      <w:rFonts w:eastAsia="Times New Roman" w:cs="Times New Roman"/>
    </w:rPr>
  </w:style>
  <w:style w:type="character" w:customStyle="1" w:styleId="ListLabel9">
    <w:name w:val="ListLabel 9"/>
    <w:rPr>
      <w:rFonts w:cs="Courier New"/>
    </w:rPr>
  </w:style>
  <w:style w:type="character" w:customStyle="1" w:styleId="ListLabel10">
    <w:name w:val="ListLabel 10"/>
    <w:rPr>
      <w:b/>
    </w:rPr>
  </w:style>
  <w:style w:type="character" w:customStyle="1" w:styleId="ListLabel11">
    <w:name w:val="ListLabel 11"/>
    <w:rPr>
      <w:b w:val="0"/>
    </w:rPr>
  </w:style>
  <w:style w:type="character" w:customStyle="1" w:styleId="ListLabel12">
    <w:name w:val="ListLabel 12"/>
    <w:rPr>
      <w:rFonts w:eastAsia="MS Mincho" w:cs="Times New Roman"/>
    </w:rPr>
  </w:style>
  <w:style w:type="character" w:customStyle="1" w:styleId="ListLabel13">
    <w:name w:val="ListLabel 13"/>
    <w:rPr>
      <w:rFonts w:eastAsia="Times New Roman" w:cs="Times New Roman"/>
      <w:b w:val="0"/>
    </w:rPr>
  </w:style>
  <w:style w:type="character" w:customStyle="1" w:styleId="ListLabel14">
    <w:name w:val="ListLabel 14"/>
    <w:rPr>
      <w:color w:val="00000A"/>
    </w:rPr>
  </w:style>
  <w:style w:type="character" w:customStyle="1" w:styleId="ListLabel15">
    <w:name w:val="ListLabel 15"/>
    <w:rPr>
      <w:rFonts w:eastAsia="Times New Roman" w:cs="Times New Roman"/>
      <w:b/>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character" w:customStyle="1" w:styleId="Heading6Char">
    <w:name w:val="Heading 6 Char"/>
    <w:basedOn w:val="DefaultParagraphFont"/>
    <w:link w:val="Heading6"/>
    <w:rsid w:val="00AC39E9"/>
    <w:rPr>
      <w:rFonts w:ascii="Arial" w:eastAsia="Times New Roman" w:hAnsi="Arial" w:cs="Times New Roman"/>
      <w:i/>
      <w:noProof/>
      <w:color w:val="000000"/>
      <w:kern w:val="0"/>
      <w:szCs w:val="20"/>
      <w:lang w:val="fr-BE"/>
    </w:rPr>
  </w:style>
  <w:style w:type="character" w:customStyle="1" w:styleId="Heading7Char">
    <w:name w:val="Heading 7 Char"/>
    <w:basedOn w:val="DefaultParagraphFont"/>
    <w:link w:val="Heading7"/>
    <w:rsid w:val="00AC39E9"/>
    <w:rPr>
      <w:rFonts w:ascii="Arial" w:eastAsia="Times New Roman" w:hAnsi="Arial" w:cs="Times New Roman"/>
      <w:noProof/>
      <w:color w:val="000000"/>
      <w:kern w:val="0"/>
      <w:szCs w:val="20"/>
      <w:lang w:val="fr-BE"/>
    </w:rPr>
  </w:style>
  <w:style w:type="character" w:customStyle="1" w:styleId="Heading8Char">
    <w:name w:val="Heading 8 Char"/>
    <w:basedOn w:val="DefaultParagraphFont"/>
    <w:link w:val="Heading8"/>
    <w:rsid w:val="00AC39E9"/>
    <w:rPr>
      <w:rFonts w:eastAsia="Times New Roman" w:cs="Times New Roman"/>
      <w:b/>
      <w:i/>
      <w:noProof/>
      <w:color w:val="000000"/>
      <w:kern w:val="0"/>
      <w:sz w:val="24"/>
      <w:szCs w:val="20"/>
      <w:lang w:val="fr-BE"/>
    </w:rPr>
  </w:style>
  <w:style w:type="character" w:customStyle="1" w:styleId="Heading9Char">
    <w:name w:val="Heading 9 Char"/>
    <w:basedOn w:val="DefaultParagraphFont"/>
    <w:link w:val="Heading9"/>
    <w:rsid w:val="00AC39E9"/>
    <w:rPr>
      <w:rFonts w:eastAsia="Times New Roman" w:cs="Times New Roman"/>
      <w:i/>
      <w:noProof/>
      <w:color w:val="000000"/>
      <w:kern w:val="0"/>
      <w:sz w:val="24"/>
      <w:szCs w:val="20"/>
      <w:lang w:val="fr-BE"/>
    </w:rPr>
  </w:style>
  <w:style w:type="numbering" w:customStyle="1" w:styleId="WWNum110">
    <w:name w:val="WWNum110"/>
    <w:basedOn w:val="NoList"/>
    <w:rsid w:val="007A66E9"/>
    <w:pPr>
      <w:numPr>
        <w:numId w:val="66"/>
      </w:numPr>
    </w:pPr>
  </w:style>
  <w:style w:type="numbering" w:customStyle="1" w:styleId="WWNum221">
    <w:name w:val="WWNum221"/>
    <w:basedOn w:val="NoList"/>
    <w:rsid w:val="007A66E9"/>
    <w:pPr>
      <w:numPr>
        <w:numId w:val="67"/>
      </w:numPr>
    </w:pPr>
  </w:style>
  <w:style w:type="character" w:customStyle="1" w:styleId="FooterChar">
    <w:name w:val="Footer Char"/>
    <w:basedOn w:val="DefaultParagraphFont"/>
    <w:link w:val="Footer"/>
    <w:rsid w:val="00B22490"/>
    <w:rPr>
      <w:rFonts w:ascii="Times New Roman" w:eastAsia="Times New Roman" w:hAnsi="Times New Roman" w:cs="Times New Roman"/>
      <w:sz w:val="24"/>
      <w:szCs w:val="24"/>
      <w:lang w:eastAsia="bg-BG"/>
    </w:rPr>
  </w:style>
  <w:style w:type="paragraph" w:customStyle="1" w:styleId="Style1">
    <w:name w:val="Style1"/>
    <w:basedOn w:val="Normal"/>
    <w:rsid w:val="008D41E2"/>
    <w:pPr>
      <w:suppressAutoHyphens w:val="0"/>
      <w:autoSpaceDE w:val="0"/>
      <w:spacing w:after="0" w:line="240" w:lineRule="auto"/>
      <w:textAlignment w:val="auto"/>
    </w:pPr>
    <w:rPr>
      <w:rFonts w:ascii="Times New Roman" w:eastAsia="Calibri" w:hAnsi="Times New Roman" w:cs="Times New Roman"/>
      <w:kern w:val="0"/>
      <w:sz w:val="24"/>
      <w:szCs w:val="24"/>
      <w:lang w:eastAsia="bg-BG"/>
    </w:rPr>
  </w:style>
  <w:style w:type="character" w:customStyle="1" w:styleId="FontStyle20">
    <w:name w:val="Font Style20"/>
    <w:rsid w:val="008D41E2"/>
    <w:rPr>
      <w:rFonts w:ascii="Times New Roman" w:hAnsi="Times New Roman" w:cs="Times New Roman"/>
      <w:b/>
      <w:bCs/>
      <w:sz w:val="22"/>
      <w:szCs w:val="22"/>
    </w:rPr>
  </w:style>
  <w:style w:type="paragraph" w:customStyle="1" w:styleId="Style5">
    <w:name w:val="Style5"/>
    <w:basedOn w:val="Normal"/>
    <w:rsid w:val="008D41E2"/>
    <w:pPr>
      <w:suppressAutoHyphens w:val="0"/>
      <w:autoSpaceDE w:val="0"/>
      <w:spacing w:after="0" w:line="276" w:lineRule="exact"/>
      <w:jc w:val="center"/>
      <w:textAlignment w:val="auto"/>
    </w:pPr>
    <w:rPr>
      <w:rFonts w:ascii="Times New Roman" w:eastAsia="Calibri" w:hAnsi="Times New Roman" w:cs="Times New Roman"/>
      <w:kern w:val="0"/>
      <w:sz w:val="24"/>
      <w:szCs w:val="24"/>
      <w:lang w:eastAsia="bg-BG"/>
    </w:rPr>
  </w:style>
  <w:style w:type="character" w:customStyle="1" w:styleId="FontStyle21">
    <w:name w:val="Font Style21"/>
    <w:rsid w:val="008D41E2"/>
    <w:rPr>
      <w:rFonts w:ascii="Times New Roman" w:hAnsi="Times New Roman" w:cs="Times New Roman"/>
      <w:sz w:val="22"/>
      <w:szCs w:val="22"/>
    </w:rPr>
  </w:style>
  <w:style w:type="paragraph" w:customStyle="1" w:styleId="Style8">
    <w:name w:val="Style8"/>
    <w:basedOn w:val="Normal"/>
    <w:rsid w:val="008D41E2"/>
    <w:pPr>
      <w:suppressAutoHyphens w:val="0"/>
      <w:autoSpaceDE w:val="0"/>
      <w:spacing w:after="0" w:line="269" w:lineRule="exact"/>
      <w:textAlignment w:val="auto"/>
    </w:pPr>
    <w:rPr>
      <w:rFonts w:ascii="Times New Roman" w:eastAsia="Calibri" w:hAnsi="Times New Roman" w:cs="Times New Roman"/>
      <w:kern w:val="0"/>
      <w:sz w:val="24"/>
      <w:szCs w:val="24"/>
      <w:lang w:eastAsia="bg-BG"/>
    </w:rPr>
  </w:style>
  <w:style w:type="paragraph" w:customStyle="1" w:styleId="Style13">
    <w:name w:val="Style13"/>
    <w:basedOn w:val="Normal"/>
    <w:rsid w:val="008D41E2"/>
    <w:pPr>
      <w:suppressAutoHyphens w:val="0"/>
      <w:autoSpaceDE w:val="0"/>
      <w:spacing w:after="0" w:line="917" w:lineRule="exact"/>
      <w:textAlignment w:val="auto"/>
    </w:pPr>
    <w:rPr>
      <w:rFonts w:ascii="Times New Roman" w:eastAsia="Calibri" w:hAnsi="Times New Roman" w:cs="Times New Roman"/>
      <w:kern w:val="0"/>
      <w:sz w:val="24"/>
      <w:szCs w:val="24"/>
      <w:lang w:eastAsia="bg-BG"/>
    </w:rPr>
  </w:style>
  <w:style w:type="paragraph" w:customStyle="1" w:styleId="Style12">
    <w:name w:val="Style12"/>
    <w:basedOn w:val="Normal"/>
    <w:rsid w:val="008D41E2"/>
    <w:pPr>
      <w:suppressAutoHyphens w:val="0"/>
      <w:autoSpaceDE w:val="0"/>
      <w:spacing w:after="0" w:line="1373" w:lineRule="exact"/>
      <w:textAlignment w:val="auto"/>
    </w:pPr>
    <w:rPr>
      <w:rFonts w:ascii="Times New Roman" w:eastAsia="Calibri" w:hAnsi="Times New Roman" w:cs="Times New Roman"/>
      <w:kern w:val="0"/>
      <w:sz w:val="24"/>
      <w:szCs w:val="24"/>
      <w:lang w:eastAsia="bg-BG"/>
    </w:rPr>
  </w:style>
  <w:style w:type="paragraph" w:customStyle="1" w:styleId="Style16">
    <w:name w:val="Style16"/>
    <w:basedOn w:val="Normal"/>
    <w:rsid w:val="008D41E2"/>
    <w:pPr>
      <w:suppressAutoHyphens w:val="0"/>
      <w:autoSpaceDE w:val="0"/>
      <w:spacing w:after="0" w:line="821" w:lineRule="exact"/>
      <w:textAlignment w:val="auto"/>
    </w:pPr>
    <w:rPr>
      <w:rFonts w:ascii="Times New Roman" w:eastAsia="Calibri" w:hAnsi="Times New Roman" w:cs="Times New Roman"/>
      <w:kern w:val="0"/>
      <w:sz w:val="24"/>
      <w:szCs w:val="24"/>
      <w:lang w:eastAsia="bg-BG"/>
    </w:rPr>
  </w:style>
  <w:style w:type="paragraph" w:customStyle="1" w:styleId="Style4">
    <w:name w:val="Style4"/>
    <w:basedOn w:val="Normal"/>
    <w:rsid w:val="008D41E2"/>
    <w:pPr>
      <w:suppressAutoHyphens w:val="0"/>
      <w:autoSpaceDE w:val="0"/>
      <w:spacing w:after="0" w:line="283" w:lineRule="exact"/>
      <w:textAlignment w:val="auto"/>
    </w:pPr>
    <w:rPr>
      <w:rFonts w:ascii="Times New Roman" w:eastAsia="Calibri" w:hAnsi="Times New Roman" w:cs="Times New Roman"/>
      <w:kern w:val="0"/>
      <w:sz w:val="24"/>
      <w:szCs w:val="24"/>
      <w:lang w:eastAsia="bg-BG"/>
    </w:rPr>
  </w:style>
  <w:style w:type="character" w:customStyle="1" w:styleId="FontStyle22">
    <w:name w:val="Font Style22"/>
    <w:rsid w:val="008D41E2"/>
    <w:rPr>
      <w:rFonts w:ascii="Times New Roman" w:hAnsi="Times New Roman" w:cs="Times New Roman"/>
      <w:sz w:val="20"/>
      <w:szCs w:val="20"/>
    </w:rPr>
  </w:style>
  <w:style w:type="paragraph" w:customStyle="1" w:styleId="Style11">
    <w:name w:val="Style11"/>
    <w:basedOn w:val="Normal"/>
    <w:rsid w:val="008D41E2"/>
    <w:pPr>
      <w:suppressAutoHyphens w:val="0"/>
      <w:autoSpaceDE w:val="0"/>
      <w:spacing w:after="0" w:line="264" w:lineRule="exact"/>
      <w:ind w:firstLine="130"/>
      <w:textAlignment w:val="auto"/>
    </w:pPr>
    <w:rPr>
      <w:rFonts w:ascii="Times New Roman" w:eastAsia="Calibri" w:hAnsi="Times New Roman" w:cs="Times New Roman"/>
      <w:kern w:val="0"/>
      <w:sz w:val="24"/>
      <w:szCs w:val="24"/>
      <w:lang w:eastAsia="bg-BG"/>
    </w:rPr>
  </w:style>
  <w:style w:type="paragraph" w:customStyle="1" w:styleId="Style9">
    <w:name w:val="Style9"/>
    <w:basedOn w:val="Normal"/>
    <w:rsid w:val="008D41E2"/>
    <w:pPr>
      <w:suppressAutoHyphens w:val="0"/>
      <w:autoSpaceDE w:val="0"/>
      <w:spacing w:after="0" w:line="256" w:lineRule="exact"/>
      <w:jc w:val="center"/>
      <w:textAlignment w:val="auto"/>
    </w:pPr>
    <w:rPr>
      <w:rFonts w:ascii="Times New Roman" w:eastAsia="Calibri" w:hAnsi="Times New Roman" w:cs="Times New Roman"/>
      <w:kern w:val="0"/>
      <w:sz w:val="24"/>
      <w:szCs w:val="24"/>
      <w:lang w:eastAsia="bg-BG"/>
    </w:rPr>
  </w:style>
  <w:style w:type="paragraph" w:customStyle="1" w:styleId="Style10">
    <w:name w:val="Style10"/>
    <w:basedOn w:val="Normal"/>
    <w:rsid w:val="008D41E2"/>
    <w:pPr>
      <w:suppressAutoHyphens w:val="0"/>
      <w:autoSpaceDE w:val="0"/>
      <w:spacing w:after="0" w:line="1104" w:lineRule="exact"/>
      <w:textAlignment w:val="auto"/>
    </w:pPr>
    <w:rPr>
      <w:rFonts w:ascii="Times New Roman" w:eastAsia="Calibri" w:hAnsi="Times New Roman" w:cs="Times New Roman"/>
      <w:kern w:val="0"/>
      <w:sz w:val="24"/>
      <w:szCs w:val="24"/>
      <w:lang w:eastAsia="bg-BG"/>
    </w:rPr>
  </w:style>
  <w:style w:type="character" w:styleId="Hyperlink">
    <w:name w:val="Hyperlink"/>
    <w:rsid w:val="008D41E2"/>
    <w:rPr>
      <w:rFonts w:cs="Times New Roman"/>
      <w:color w:val="0000FF"/>
      <w:u w:val="single"/>
    </w:rPr>
  </w:style>
  <w:style w:type="paragraph" w:customStyle="1" w:styleId="Style6">
    <w:name w:val="Style6"/>
    <w:basedOn w:val="Normal"/>
    <w:rsid w:val="008D41E2"/>
    <w:pPr>
      <w:suppressAutoHyphens w:val="0"/>
      <w:autoSpaceDE w:val="0"/>
      <w:spacing w:after="0" w:line="235" w:lineRule="exact"/>
      <w:textAlignment w:val="auto"/>
    </w:pPr>
    <w:rPr>
      <w:rFonts w:ascii="Times New Roman" w:eastAsia="Calibri" w:hAnsi="Times New Roman" w:cs="Times New Roman"/>
      <w:kern w:val="0"/>
      <w:sz w:val="24"/>
      <w:szCs w:val="24"/>
      <w:lang w:eastAsia="bg-BG"/>
    </w:rPr>
  </w:style>
  <w:style w:type="paragraph" w:customStyle="1" w:styleId="Style14">
    <w:name w:val="Style14"/>
    <w:basedOn w:val="Normal"/>
    <w:rsid w:val="008D41E2"/>
    <w:pPr>
      <w:suppressAutoHyphens w:val="0"/>
      <w:autoSpaceDE w:val="0"/>
      <w:spacing w:after="0" w:line="461" w:lineRule="exact"/>
      <w:textAlignment w:val="auto"/>
    </w:pPr>
    <w:rPr>
      <w:rFonts w:ascii="Times New Roman" w:eastAsia="Calibri" w:hAnsi="Times New Roman" w:cs="Times New Roman"/>
      <w:kern w:val="0"/>
      <w:sz w:val="24"/>
      <w:szCs w:val="24"/>
      <w:lang w:eastAsia="bg-BG"/>
    </w:rPr>
  </w:style>
  <w:style w:type="paragraph" w:customStyle="1" w:styleId="titlesgrey">
    <w:name w:val="titles grey"/>
    <w:basedOn w:val="Normal"/>
    <w:rsid w:val="008D41E2"/>
    <w:pPr>
      <w:widowControl/>
      <w:suppressAutoHyphens w:val="0"/>
      <w:spacing w:before="100" w:after="100" w:line="240" w:lineRule="auto"/>
      <w:textAlignment w:val="auto"/>
    </w:pPr>
    <w:rPr>
      <w:rFonts w:ascii="Times New Roman" w:eastAsia="Times New Roman" w:hAnsi="Times New Roman" w:cs="Times New Roman"/>
      <w:kern w:val="0"/>
      <w:sz w:val="24"/>
      <w:szCs w:val="24"/>
      <w:lang w:eastAsia="bg-BG"/>
    </w:rPr>
  </w:style>
  <w:style w:type="character" w:customStyle="1" w:styleId="HeaderChar">
    <w:name w:val="Header Char"/>
    <w:rsid w:val="008D41E2"/>
    <w:rPr>
      <w:rFonts w:ascii="Times New Roman" w:eastAsia="Times New Roman" w:hAnsi="Times New Roman" w:cs="Times New Roman"/>
      <w:sz w:val="24"/>
      <w:szCs w:val="24"/>
      <w:lang w:eastAsia="bg-BG"/>
    </w:rPr>
  </w:style>
  <w:style w:type="character" w:styleId="Strong">
    <w:name w:val="Strong"/>
    <w:rsid w:val="008D41E2"/>
    <w:rPr>
      <w:b/>
      <w:bCs/>
    </w:rPr>
  </w:style>
  <w:style w:type="character" w:customStyle="1" w:styleId="BalloonTextChar">
    <w:name w:val="Balloon Text Char"/>
    <w:rsid w:val="008D41E2"/>
    <w:rPr>
      <w:rFonts w:ascii="Tahoma" w:eastAsia="Times New Roman" w:hAnsi="Tahoma" w:cs="Tahoma"/>
      <w:sz w:val="16"/>
      <w:szCs w:val="16"/>
      <w:lang w:eastAsia="ar-SA"/>
    </w:rPr>
  </w:style>
  <w:style w:type="paragraph" w:styleId="NoSpacing">
    <w:name w:val="No Spacing"/>
    <w:rsid w:val="008D41E2"/>
    <w:pPr>
      <w:spacing w:after="0" w:line="240" w:lineRule="auto"/>
    </w:pPr>
  </w:style>
  <w:style w:type="numbering" w:customStyle="1" w:styleId="WWNum111">
    <w:name w:val="WWNum111"/>
    <w:basedOn w:val="NoList"/>
    <w:rsid w:val="008D41E2"/>
    <w:pPr>
      <w:numPr>
        <w:numId w:val="68"/>
      </w:numPr>
    </w:pPr>
  </w:style>
  <w:style w:type="numbering" w:customStyle="1" w:styleId="WWNum210">
    <w:name w:val="WWNum210"/>
    <w:basedOn w:val="NoList"/>
    <w:rsid w:val="008D41E2"/>
    <w:pPr>
      <w:numPr>
        <w:numId w:val="69"/>
      </w:numPr>
    </w:pPr>
  </w:style>
  <w:style w:type="numbering" w:customStyle="1" w:styleId="WWNum31">
    <w:name w:val="WWNum31"/>
    <w:basedOn w:val="NoList"/>
    <w:rsid w:val="008D41E2"/>
    <w:pPr>
      <w:numPr>
        <w:numId w:val="70"/>
      </w:numPr>
    </w:pPr>
  </w:style>
  <w:style w:type="numbering" w:customStyle="1" w:styleId="WWNum41">
    <w:name w:val="WWNum41"/>
    <w:basedOn w:val="NoList"/>
    <w:rsid w:val="008D41E2"/>
    <w:pPr>
      <w:numPr>
        <w:numId w:val="71"/>
      </w:numPr>
    </w:pPr>
  </w:style>
  <w:style w:type="numbering" w:customStyle="1" w:styleId="WWNum51">
    <w:name w:val="WWNum51"/>
    <w:basedOn w:val="NoList"/>
    <w:rsid w:val="008D41E2"/>
    <w:pPr>
      <w:numPr>
        <w:numId w:val="72"/>
      </w:numPr>
    </w:pPr>
  </w:style>
  <w:style w:type="numbering" w:customStyle="1" w:styleId="WWNum61">
    <w:name w:val="WWNum61"/>
    <w:basedOn w:val="NoList"/>
    <w:rsid w:val="008D41E2"/>
    <w:pPr>
      <w:numPr>
        <w:numId w:val="73"/>
      </w:numPr>
    </w:pPr>
  </w:style>
  <w:style w:type="numbering" w:customStyle="1" w:styleId="WWNum71">
    <w:name w:val="WWNum71"/>
    <w:basedOn w:val="NoList"/>
    <w:rsid w:val="008D41E2"/>
    <w:pPr>
      <w:numPr>
        <w:numId w:val="74"/>
      </w:numPr>
    </w:pPr>
  </w:style>
  <w:style w:type="numbering" w:customStyle="1" w:styleId="WWNum81">
    <w:name w:val="WWNum81"/>
    <w:basedOn w:val="NoList"/>
    <w:rsid w:val="008D41E2"/>
    <w:pPr>
      <w:numPr>
        <w:numId w:val="75"/>
      </w:numPr>
    </w:pPr>
  </w:style>
  <w:style w:type="numbering" w:customStyle="1" w:styleId="WWNum91">
    <w:name w:val="WWNum91"/>
    <w:basedOn w:val="NoList"/>
    <w:rsid w:val="008D41E2"/>
    <w:pPr>
      <w:numPr>
        <w:numId w:val="76"/>
      </w:numPr>
    </w:pPr>
  </w:style>
  <w:style w:type="numbering" w:customStyle="1" w:styleId="WWNum101">
    <w:name w:val="WWNum101"/>
    <w:basedOn w:val="NoList"/>
    <w:rsid w:val="008D41E2"/>
    <w:pPr>
      <w:numPr>
        <w:numId w:val="77"/>
      </w:numPr>
    </w:pPr>
  </w:style>
  <w:style w:type="numbering" w:customStyle="1" w:styleId="WWNum112">
    <w:name w:val="WWNum112"/>
    <w:basedOn w:val="NoList"/>
    <w:rsid w:val="008D41E2"/>
    <w:pPr>
      <w:numPr>
        <w:numId w:val="78"/>
      </w:numPr>
    </w:pPr>
  </w:style>
  <w:style w:type="numbering" w:customStyle="1" w:styleId="WWNum121">
    <w:name w:val="WWNum121"/>
    <w:basedOn w:val="NoList"/>
    <w:rsid w:val="008D41E2"/>
    <w:pPr>
      <w:numPr>
        <w:numId w:val="79"/>
      </w:numPr>
    </w:pPr>
  </w:style>
  <w:style w:type="numbering" w:customStyle="1" w:styleId="WWNum131">
    <w:name w:val="WWNum131"/>
    <w:basedOn w:val="NoList"/>
    <w:rsid w:val="008D41E2"/>
    <w:pPr>
      <w:numPr>
        <w:numId w:val="80"/>
      </w:numPr>
    </w:pPr>
  </w:style>
  <w:style w:type="numbering" w:customStyle="1" w:styleId="WWNum141">
    <w:name w:val="WWNum141"/>
    <w:basedOn w:val="NoList"/>
    <w:rsid w:val="008D41E2"/>
    <w:pPr>
      <w:numPr>
        <w:numId w:val="81"/>
      </w:numPr>
    </w:pPr>
  </w:style>
  <w:style w:type="numbering" w:customStyle="1" w:styleId="WWNum151">
    <w:name w:val="WWNum151"/>
    <w:basedOn w:val="NoList"/>
    <w:rsid w:val="008D41E2"/>
    <w:pPr>
      <w:numPr>
        <w:numId w:val="82"/>
      </w:numPr>
    </w:pPr>
  </w:style>
  <w:style w:type="numbering" w:customStyle="1" w:styleId="WWNum161">
    <w:name w:val="WWNum161"/>
    <w:basedOn w:val="NoList"/>
    <w:rsid w:val="008D41E2"/>
    <w:pPr>
      <w:numPr>
        <w:numId w:val="83"/>
      </w:numPr>
    </w:pPr>
  </w:style>
  <w:style w:type="numbering" w:customStyle="1" w:styleId="WWNum171">
    <w:name w:val="WWNum171"/>
    <w:basedOn w:val="NoList"/>
    <w:rsid w:val="008D41E2"/>
    <w:pPr>
      <w:numPr>
        <w:numId w:val="84"/>
      </w:numPr>
    </w:pPr>
  </w:style>
  <w:style w:type="numbering" w:customStyle="1" w:styleId="WWNum181">
    <w:name w:val="WWNum181"/>
    <w:basedOn w:val="NoList"/>
    <w:rsid w:val="008D41E2"/>
    <w:pPr>
      <w:numPr>
        <w:numId w:val="85"/>
      </w:numPr>
    </w:pPr>
  </w:style>
  <w:style w:type="numbering" w:customStyle="1" w:styleId="WWNum191">
    <w:name w:val="WWNum191"/>
    <w:basedOn w:val="NoList"/>
    <w:rsid w:val="008D41E2"/>
    <w:pPr>
      <w:numPr>
        <w:numId w:val="86"/>
      </w:numPr>
    </w:pPr>
  </w:style>
  <w:style w:type="numbering" w:customStyle="1" w:styleId="WWNum201">
    <w:name w:val="WWNum201"/>
    <w:basedOn w:val="NoList"/>
    <w:rsid w:val="008D41E2"/>
    <w:pPr>
      <w:numPr>
        <w:numId w:val="87"/>
      </w:numPr>
    </w:pPr>
  </w:style>
  <w:style w:type="numbering" w:customStyle="1" w:styleId="WWNum211">
    <w:name w:val="WWNum211"/>
    <w:basedOn w:val="NoList"/>
    <w:rsid w:val="008D41E2"/>
    <w:pPr>
      <w:numPr>
        <w:numId w:val="88"/>
      </w:numPr>
    </w:pPr>
  </w:style>
  <w:style w:type="numbering" w:customStyle="1" w:styleId="WWNum222">
    <w:name w:val="WWNum222"/>
    <w:basedOn w:val="NoList"/>
    <w:rsid w:val="008D41E2"/>
    <w:pPr>
      <w:numPr>
        <w:numId w:val="89"/>
      </w:numPr>
    </w:pPr>
  </w:style>
  <w:style w:type="numbering" w:customStyle="1" w:styleId="WWNum231">
    <w:name w:val="WWNum231"/>
    <w:basedOn w:val="NoList"/>
    <w:rsid w:val="008D41E2"/>
    <w:pPr>
      <w:numPr>
        <w:numId w:val="90"/>
      </w:numPr>
    </w:pPr>
  </w:style>
  <w:style w:type="numbering" w:customStyle="1" w:styleId="WWNum241">
    <w:name w:val="WWNum241"/>
    <w:basedOn w:val="NoList"/>
    <w:rsid w:val="008D41E2"/>
    <w:pPr>
      <w:numPr>
        <w:numId w:val="91"/>
      </w:numPr>
    </w:pPr>
  </w:style>
  <w:style w:type="numbering" w:customStyle="1" w:styleId="WWNum251">
    <w:name w:val="WWNum251"/>
    <w:basedOn w:val="NoList"/>
    <w:rsid w:val="008D41E2"/>
    <w:pPr>
      <w:numPr>
        <w:numId w:val="92"/>
      </w:numPr>
    </w:pPr>
  </w:style>
  <w:style w:type="numbering" w:customStyle="1" w:styleId="WWNum261">
    <w:name w:val="WWNum261"/>
    <w:basedOn w:val="NoList"/>
    <w:rsid w:val="008D41E2"/>
    <w:pPr>
      <w:numPr>
        <w:numId w:val="93"/>
      </w:numPr>
    </w:pPr>
  </w:style>
  <w:style w:type="numbering" w:customStyle="1" w:styleId="WWNum271">
    <w:name w:val="WWNum271"/>
    <w:basedOn w:val="NoList"/>
    <w:rsid w:val="008D41E2"/>
    <w:pPr>
      <w:numPr>
        <w:numId w:val="94"/>
      </w:numPr>
    </w:pPr>
  </w:style>
  <w:style w:type="numbering" w:customStyle="1" w:styleId="WWNum281">
    <w:name w:val="WWNum281"/>
    <w:basedOn w:val="NoList"/>
    <w:rsid w:val="008D41E2"/>
    <w:pPr>
      <w:numPr>
        <w:numId w:val="95"/>
      </w:numPr>
    </w:pPr>
  </w:style>
  <w:style w:type="numbering" w:customStyle="1" w:styleId="WWNum291">
    <w:name w:val="WWNum291"/>
    <w:basedOn w:val="NoList"/>
    <w:rsid w:val="008D41E2"/>
    <w:pPr>
      <w:numPr>
        <w:numId w:val="96"/>
      </w:numPr>
    </w:pPr>
  </w:style>
  <w:style w:type="numbering" w:customStyle="1" w:styleId="WWNum301">
    <w:name w:val="WWNum301"/>
    <w:basedOn w:val="NoList"/>
    <w:rsid w:val="008D41E2"/>
    <w:pPr>
      <w:numPr>
        <w:numId w:val="9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enrd.ec.europa.eu/sites/enrd/files/rdp_analysis_m16-1.pdf"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diagramQuickStyle" Target="diagrams/quickStyl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enrd.ec.europa.eu/sites/enrd/files/nrn4_m16-cooperation_karjalainen.pdf"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diagramLayout" Target="diagrams/layout1.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microsoft.com/office/2007/relationships/diagramDrawing" Target="diagrams/drawing1.xml"/><Relationship Id="rId28" Type="http://schemas.openxmlformats.org/officeDocument/2006/relationships/header" Target="header5.xml"/><Relationship Id="rId10" Type="http://schemas.openxmlformats.org/officeDocument/2006/relationships/image" Target="media/image2.jpg"/><Relationship Id="rId19" Type="http://schemas.openxmlformats.org/officeDocument/2006/relationships/diagramData" Target="diagrams/data1.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 Id="rId22" Type="http://schemas.openxmlformats.org/officeDocument/2006/relationships/diagramColors" Target="diagrams/colors1.xml"/><Relationship Id="rId27" Type="http://schemas.openxmlformats.org/officeDocument/2006/relationships/footer" Target="footer6.xml"/><Relationship Id="rId30" Type="http://schemas.openxmlformats.org/officeDocument/2006/relationships/footer" Target="footer8.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A878D6A-372E-40D0-B434-87418EFF06F0}" type="doc">
      <dgm:prSet loTypeId="urn:microsoft.com/office/officeart/2005/8/layout/vProcess5" loCatId="process" qsTypeId="urn:microsoft.com/office/officeart/2005/8/quickstyle/simple1" qsCatId="simple" csTypeId="urn:microsoft.com/office/officeart/2005/8/colors/accent0_1" csCatId="mainScheme" phldr="1"/>
      <dgm:spPr/>
      <dgm:t>
        <a:bodyPr/>
        <a:lstStyle/>
        <a:p>
          <a:endParaRPr lang="en-US"/>
        </a:p>
      </dgm:t>
    </dgm:pt>
    <dgm:pt modelId="{A391151C-454E-4F71-B63C-DE62D15539B9}">
      <dgm:prSet phldrT="[Text]" custT="1"/>
      <dgm:spPr>
        <a:xfrm>
          <a:off x="-257073" y="-45716"/>
          <a:ext cx="3735227" cy="1296275"/>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bg-BG"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Набиране на информация</a:t>
          </a:r>
        </a:p>
        <a:p>
          <a:endParaRPr lang="bg-BG"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a:p>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определяне на изследвания обект;</a:t>
          </a:r>
        </a:p>
        <a:p>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посочване на критерии за попадане в извадката;</a:t>
          </a:r>
        </a:p>
        <a:p>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провеждане на емпирично изследване.  </a:t>
          </a:r>
          <a:endParaRPr lang="en-US"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E8131A0E-8FD1-49CE-ADE0-C4CF70287429}" type="parTrans" cxnId="{A514908B-CF1F-492F-9A1B-70D751ED0659}">
      <dgm:prSet/>
      <dgm:spPr/>
      <dgm:t>
        <a:bodyPr/>
        <a:lstStyle/>
        <a:p>
          <a:endParaRPr lang="en-US" sz="1050"/>
        </a:p>
      </dgm:t>
    </dgm:pt>
    <dgm:pt modelId="{1CB363F8-4E74-4885-BE53-DD8CEDF71274}" type="sibTrans" cxnId="{A514908B-CF1F-492F-9A1B-70D751ED0659}">
      <dgm:prSet custT="1"/>
      <dgm:spPr>
        <a:xfrm>
          <a:off x="2587608" y="898486"/>
          <a:ext cx="723715" cy="723715"/>
        </a:xfrm>
        <a:solidFill>
          <a:sysClr val="window" lastClr="FFFFFF">
            <a:alpha val="90000"/>
            <a:tint val="40000"/>
            <a:hueOff val="0"/>
            <a:satOff val="0"/>
            <a:lumOff val="0"/>
            <a:alphaOff val="0"/>
          </a:sysClr>
        </a:solidFill>
        <a:ln w="12700" cap="flat" cmpd="sng" algn="ctr">
          <a:solidFill>
            <a:sysClr val="windowText" lastClr="000000">
              <a:alpha val="90000"/>
              <a:hueOff val="0"/>
              <a:satOff val="0"/>
              <a:lumOff val="0"/>
              <a:alphaOff val="0"/>
            </a:sysClr>
          </a:solidFill>
          <a:prstDash val="solid"/>
          <a:miter lim="800000"/>
        </a:ln>
        <a:effectLst/>
      </dgm:spPr>
      <dgm:t>
        <a:bodyPr/>
        <a:lstStyle/>
        <a:p>
          <a:endParaRPr lang="en-US" sz="1050">
            <a:solidFill>
              <a:sysClr val="windowText" lastClr="000000">
                <a:hueOff val="0"/>
                <a:satOff val="0"/>
                <a:lumOff val="0"/>
                <a:alphaOff val="0"/>
              </a:sysClr>
            </a:solidFill>
            <a:latin typeface="Calibri" panose="020F0502020204030204"/>
            <a:ea typeface="+mn-ea"/>
            <a:cs typeface="+mn-cs"/>
          </a:endParaRPr>
        </a:p>
      </dgm:t>
    </dgm:pt>
    <dgm:pt modelId="{05EACD8F-A3F5-4837-B27B-C9DEDE4CF689}">
      <dgm:prSet phldrT="[Text]" custT="1"/>
      <dgm:spPr>
        <a:xfrm>
          <a:off x="-175265" y="1371662"/>
          <a:ext cx="4141375" cy="1113409"/>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bg-BG"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Обработка на информацията</a:t>
          </a:r>
        </a:p>
        <a:p>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въвеждане на информацията в електронна среда;</a:t>
          </a:r>
        </a:p>
        <a:p>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-въвеждане на източниците и доказателствения материал.</a:t>
          </a:r>
          <a:endParaRPr lang="en-US"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2471EDB6-07C6-4168-9F6F-FDCAF6DAAC0A}" type="parTrans" cxnId="{464C8CB4-D674-4FD5-9A75-C2FD499BCA91}">
      <dgm:prSet/>
      <dgm:spPr/>
      <dgm:t>
        <a:bodyPr/>
        <a:lstStyle/>
        <a:p>
          <a:endParaRPr lang="en-US" sz="1050"/>
        </a:p>
      </dgm:t>
    </dgm:pt>
    <dgm:pt modelId="{522FC7D6-7A91-4CBD-9383-964D152AC24F}" type="sibTrans" cxnId="{464C8CB4-D674-4FD5-9A75-C2FD499BCA91}">
      <dgm:prSet custT="1"/>
      <dgm:spPr>
        <a:xfrm>
          <a:off x="2872489" y="2214333"/>
          <a:ext cx="723715" cy="723715"/>
        </a:xfrm>
        <a:solidFill>
          <a:sysClr val="window" lastClr="FFFFFF">
            <a:alpha val="90000"/>
            <a:tint val="40000"/>
            <a:hueOff val="0"/>
            <a:satOff val="0"/>
            <a:lumOff val="0"/>
            <a:alphaOff val="0"/>
          </a:sysClr>
        </a:solidFill>
        <a:ln w="12700" cap="flat" cmpd="sng" algn="ctr">
          <a:solidFill>
            <a:sysClr val="windowText" lastClr="000000">
              <a:alpha val="90000"/>
              <a:hueOff val="0"/>
              <a:satOff val="0"/>
              <a:lumOff val="0"/>
              <a:alphaOff val="0"/>
            </a:sysClr>
          </a:solidFill>
          <a:prstDash val="solid"/>
          <a:miter lim="800000"/>
        </a:ln>
        <a:effectLst/>
      </dgm:spPr>
      <dgm:t>
        <a:bodyPr/>
        <a:lstStyle/>
        <a:p>
          <a:endParaRPr lang="en-US" sz="1050">
            <a:solidFill>
              <a:sysClr val="windowText" lastClr="000000">
                <a:hueOff val="0"/>
                <a:satOff val="0"/>
                <a:lumOff val="0"/>
                <a:alphaOff val="0"/>
              </a:sysClr>
            </a:solidFill>
            <a:latin typeface="Calibri" panose="020F0502020204030204"/>
            <a:ea typeface="+mn-ea"/>
            <a:cs typeface="+mn-cs"/>
          </a:endParaRPr>
        </a:p>
      </dgm:t>
    </dgm:pt>
    <dgm:pt modelId="{1C622926-3E1D-46AE-8358-73D9C270F5C0}">
      <dgm:prSet phldrT="[Text]" custT="1"/>
      <dgm:spPr>
        <a:xfrm>
          <a:off x="140926" y="2579330"/>
          <a:ext cx="4070248" cy="1309569"/>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bg-BG"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Статистически анализ</a:t>
          </a:r>
        </a:p>
        <a:p>
          <a:r>
            <a:rPr lang="bg-BG"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a:t>
          </a:r>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дискриптивна статистика</a:t>
          </a:r>
        </a:p>
        <a:p>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средни велични </a:t>
          </a:r>
        </a:p>
        <a:p>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исторически и системен продход</a:t>
          </a:r>
        </a:p>
        <a:p>
          <a:r>
            <a:rPr lang="bg-BG"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нормативен подход</a:t>
          </a:r>
        </a:p>
        <a:p>
          <a:r>
            <a:rPr lang="bg-BG"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-др. </a:t>
          </a:r>
          <a:endParaRPr lang="en-US"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AAFC175B-C50A-46F3-815B-DD7ECA21382C}" type="parTrans" cxnId="{1A813F40-2106-4031-A5CB-28033BB62A26}">
      <dgm:prSet/>
      <dgm:spPr/>
      <dgm:t>
        <a:bodyPr/>
        <a:lstStyle/>
        <a:p>
          <a:endParaRPr lang="en-US" sz="1050"/>
        </a:p>
      </dgm:t>
    </dgm:pt>
    <dgm:pt modelId="{A762CA8E-D332-4482-A65D-0272A7E56B3C}" type="sibTrans" cxnId="{1A813F40-2106-4031-A5CB-28033BB62A26}">
      <dgm:prSet custT="1"/>
      <dgm:spPr>
        <a:xfrm>
          <a:off x="3153119" y="3530180"/>
          <a:ext cx="723715" cy="723715"/>
        </a:xfrm>
        <a:solidFill>
          <a:sysClr val="window" lastClr="FFFFFF">
            <a:alpha val="90000"/>
            <a:tint val="40000"/>
            <a:hueOff val="0"/>
            <a:satOff val="0"/>
            <a:lumOff val="0"/>
            <a:alphaOff val="0"/>
          </a:sysClr>
        </a:solidFill>
        <a:ln w="12700" cap="flat" cmpd="sng" algn="ctr">
          <a:solidFill>
            <a:sysClr val="windowText" lastClr="000000">
              <a:alpha val="90000"/>
              <a:hueOff val="0"/>
              <a:satOff val="0"/>
              <a:lumOff val="0"/>
              <a:alphaOff val="0"/>
            </a:sysClr>
          </a:solidFill>
          <a:prstDash val="solid"/>
          <a:miter lim="800000"/>
        </a:ln>
        <a:effectLst/>
      </dgm:spPr>
      <dgm:t>
        <a:bodyPr/>
        <a:lstStyle/>
        <a:p>
          <a:endParaRPr lang="en-US" sz="1050">
            <a:solidFill>
              <a:sysClr val="windowText" lastClr="000000">
                <a:hueOff val="0"/>
                <a:satOff val="0"/>
                <a:lumOff val="0"/>
                <a:alphaOff val="0"/>
              </a:sysClr>
            </a:solidFill>
            <a:latin typeface="Calibri" panose="020F0502020204030204"/>
            <a:ea typeface="+mn-ea"/>
            <a:cs typeface="+mn-cs"/>
          </a:endParaRPr>
        </a:p>
      </dgm:t>
    </dgm:pt>
    <dgm:pt modelId="{6C0A5162-7137-4601-B33A-720DDD3C118E}">
      <dgm:prSet custT="1"/>
      <dgm:spPr>
        <a:xfrm>
          <a:off x="412831" y="3993257"/>
          <a:ext cx="4096202" cy="1113409"/>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bg-BG"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Резултати</a:t>
          </a:r>
        </a:p>
        <a:p>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извеждане на единична цена за определения разход</a:t>
          </a:r>
        </a:p>
        <a:p>
          <a:r>
            <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извеждане на разход заложени в мерките</a:t>
          </a:r>
        </a:p>
        <a:p>
          <a:endParaRPr lang="bg-BG"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FA7C44CA-C2A9-4845-A6F7-566DE8FB3FA5}" type="parTrans" cxnId="{BB43153E-4614-436D-BEE4-263437E31955}">
      <dgm:prSet/>
      <dgm:spPr/>
      <dgm:t>
        <a:bodyPr/>
        <a:lstStyle/>
        <a:p>
          <a:endParaRPr lang="en-US" sz="1050"/>
        </a:p>
      </dgm:t>
    </dgm:pt>
    <dgm:pt modelId="{0DA01F25-8139-4F53-89CA-F407827FC05B}" type="sibTrans" cxnId="{BB43153E-4614-436D-BEE4-263437E31955}">
      <dgm:prSet/>
      <dgm:spPr/>
      <dgm:t>
        <a:bodyPr/>
        <a:lstStyle/>
        <a:p>
          <a:endParaRPr lang="en-US" sz="1050"/>
        </a:p>
      </dgm:t>
    </dgm:pt>
    <dgm:pt modelId="{B878E17D-06E0-4BBA-8236-76310DB6BE1F}">
      <dgm:prSet phldrT="[Text]" custT="1"/>
      <dgm:spPr>
        <a:xfrm>
          <a:off x="-257073" y="-45716"/>
          <a:ext cx="3735227" cy="1296275"/>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endParaRPr lang="en-US"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B3B33429-9323-4EB1-94C0-0DFBDC50B5F1}" type="parTrans" cxnId="{CB2255EC-6806-4B7E-A117-1E510F6A2746}">
      <dgm:prSet/>
      <dgm:spPr/>
      <dgm:t>
        <a:bodyPr/>
        <a:lstStyle/>
        <a:p>
          <a:endParaRPr lang="en-US" sz="1050"/>
        </a:p>
      </dgm:t>
    </dgm:pt>
    <dgm:pt modelId="{9B754733-355A-479C-803E-4196CF03BAD5}" type="sibTrans" cxnId="{CB2255EC-6806-4B7E-A117-1E510F6A2746}">
      <dgm:prSet/>
      <dgm:spPr/>
      <dgm:t>
        <a:bodyPr/>
        <a:lstStyle/>
        <a:p>
          <a:endParaRPr lang="en-US" sz="1050"/>
        </a:p>
      </dgm:t>
    </dgm:pt>
    <dgm:pt modelId="{28DF0D59-6E03-41A4-8447-D1CADFC236B4}">
      <dgm:prSet phldrT="[Text]" custT="1"/>
      <dgm:spPr>
        <a:xfrm>
          <a:off x="-175265" y="1371662"/>
          <a:ext cx="4141375" cy="1113409"/>
        </a:xfr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endParaRPr lang="en-US"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D0946EF1-E00F-4C98-A135-BEADDF78C42B}" type="parTrans" cxnId="{D04EDC6B-BE3B-4DEB-8259-62E2DA372AB0}">
      <dgm:prSet/>
      <dgm:spPr/>
      <dgm:t>
        <a:bodyPr/>
        <a:lstStyle/>
        <a:p>
          <a:endParaRPr lang="en-US" sz="1050"/>
        </a:p>
      </dgm:t>
    </dgm:pt>
    <dgm:pt modelId="{25B6AC83-EFB7-4720-AD49-2A646D0384A8}" type="sibTrans" cxnId="{D04EDC6B-BE3B-4DEB-8259-62E2DA372AB0}">
      <dgm:prSet/>
      <dgm:spPr/>
      <dgm:t>
        <a:bodyPr/>
        <a:lstStyle/>
        <a:p>
          <a:endParaRPr lang="en-US" sz="1050"/>
        </a:p>
      </dgm:t>
    </dgm:pt>
    <dgm:pt modelId="{C23CFCA8-CBC4-476A-9680-961A925C4EF3}" type="pres">
      <dgm:prSet presAssocID="{1A878D6A-372E-40D0-B434-87418EFF06F0}" presName="outerComposite" presStyleCnt="0">
        <dgm:presLayoutVars>
          <dgm:chMax val="5"/>
          <dgm:dir/>
          <dgm:resizeHandles val="exact"/>
        </dgm:presLayoutVars>
      </dgm:prSet>
      <dgm:spPr/>
      <dgm:t>
        <a:bodyPr/>
        <a:lstStyle/>
        <a:p>
          <a:endParaRPr lang="en-US"/>
        </a:p>
      </dgm:t>
    </dgm:pt>
    <dgm:pt modelId="{C3F94E7D-63B5-4F9F-87CB-BCE0BC5F4031}" type="pres">
      <dgm:prSet presAssocID="{1A878D6A-372E-40D0-B434-87418EFF06F0}" presName="dummyMaxCanvas" presStyleCnt="0">
        <dgm:presLayoutVars/>
      </dgm:prSet>
      <dgm:spPr/>
    </dgm:pt>
    <dgm:pt modelId="{0653DBC9-A0B0-4993-BCCB-1FF91911A07A}" type="pres">
      <dgm:prSet presAssocID="{1A878D6A-372E-40D0-B434-87418EFF06F0}" presName="FourNodes_1" presStyleLbl="node1" presStyleIdx="0" presStyleCnt="4" custScaleX="109809" custScaleY="116424">
        <dgm:presLayoutVars>
          <dgm:bulletEnabled val="1"/>
        </dgm:presLayoutVars>
      </dgm:prSet>
      <dgm:spPr>
        <a:prstGeom prst="roundRect">
          <a:avLst>
            <a:gd name="adj" fmla="val 10000"/>
          </a:avLst>
        </a:prstGeom>
      </dgm:spPr>
      <dgm:t>
        <a:bodyPr/>
        <a:lstStyle/>
        <a:p>
          <a:endParaRPr lang="en-US"/>
        </a:p>
      </dgm:t>
    </dgm:pt>
    <dgm:pt modelId="{32E6ED1E-3D78-4C4E-A7D8-F384CD4CCDD8}" type="pres">
      <dgm:prSet presAssocID="{1A878D6A-372E-40D0-B434-87418EFF06F0}" presName="FourNodes_2" presStyleLbl="node1" presStyleIdx="1" presStyleCnt="4" custScaleX="121749" custLinFactNeighborX="-1042" custLinFactNeighborY="907">
        <dgm:presLayoutVars>
          <dgm:bulletEnabled val="1"/>
        </dgm:presLayoutVars>
      </dgm:prSet>
      <dgm:spPr>
        <a:prstGeom prst="roundRect">
          <a:avLst>
            <a:gd name="adj" fmla="val 10000"/>
          </a:avLst>
        </a:prstGeom>
      </dgm:spPr>
      <dgm:t>
        <a:bodyPr/>
        <a:lstStyle/>
        <a:p>
          <a:endParaRPr lang="en-US"/>
        </a:p>
      </dgm:t>
    </dgm:pt>
    <dgm:pt modelId="{EAC1AFB2-1A7C-400E-90C7-F4C6B0E1B199}" type="pres">
      <dgm:prSet presAssocID="{1A878D6A-372E-40D0-B434-87418EFF06F0}" presName="FourNodes_3" presStyleLbl="node1" presStyleIdx="2" presStyleCnt="4" custScaleX="119658" custScaleY="117618">
        <dgm:presLayoutVars>
          <dgm:bulletEnabled val="1"/>
        </dgm:presLayoutVars>
      </dgm:prSet>
      <dgm:spPr>
        <a:prstGeom prst="roundRect">
          <a:avLst>
            <a:gd name="adj" fmla="val 10000"/>
          </a:avLst>
        </a:prstGeom>
      </dgm:spPr>
      <dgm:t>
        <a:bodyPr/>
        <a:lstStyle/>
        <a:p>
          <a:endParaRPr lang="en-US"/>
        </a:p>
      </dgm:t>
    </dgm:pt>
    <dgm:pt modelId="{CB8A0621-45DE-43FE-8EAC-4D412D9DDCB0}" type="pres">
      <dgm:prSet presAssocID="{1A878D6A-372E-40D0-B434-87418EFF06F0}" presName="FourNodes_4" presStyleLbl="node1" presStyleIdx="3" presStyleCnt="4" custScaleX="120421">
        <dgm:presLayoutVars>
          <dgm:bulletEnabled val="1"/>
        </dgm:presLayoutVars>
      </dgm:prSet>
      <dgm:spPr>
        <a:prstGeom prst="roundRect">
          <a:avLst>
            <a:gd name="adj" fmla="val 10000"/>
          </a:avLst>
        </a:prstGeom>
      </dgm:spPr>
      <dgm:t>
        <a:bodyPr/>
        <a:lstStyle/>
        <a:p>
          <a:endParaRPr lang="en-US"/>
        </a:p>
      </dgm:t>
    </dgm:pt>
    <dgm:pt modelId="{4BBB1AEE-5062-4A56-8851-3D206CF1F62E}" type="pres">
      <dgm:prSet presAssocID="{1A878D6A-372E-40D0-B434-87418EFF06F0}" presName="FourConn_1-2" presStyleLbl="fgAccFollowNode1" presStyleIdx="0" presStyleCnt="3">
        <dgm:presLayoutVars>
          <dgm:bulletEnabled val="1"/>
        </dgm:presLayoutVars>
      </dgm:prSet>
      <dgm:spPr>
        <a:prstGeom prst="downArrow">
          <a:avLst>
            <a:gd name="adj1" fmla="val 55000"/>
            <a:gd name="adj2" fmla="val 45000"/>
          </a:avLst>
        </a:prstGeom>
      </dgm:spPr>
      <dgm:t>
        <a:bodyPr/>
        <a:lstStyle/>
        <a:p>
          <a:endParaRPr lang="en-US"/>
        </a:p>
      </dgm:t>
    </dgm:pt>
    <dgm:pt modelId="{F02B263F-2F1B-4098-A7BC-73A0F88F0C01}" type="pres">
      <dgm:prSet presAssocID="{1A878D6A-372E-40D0-B434-87418EFF06F0}" presName="FourConn_2-3" presStyleLbl="fgAccFollowNode1" presStyleIdx="1" presStyleCnt="3">
        <dgm:presLayoutVars>
          <dgm:bulletEnabled val="1"/>
        </dgm:presLayoutVars>
      </dgm:prSet>
      <dgm:spPr>
        <a:prstGeom prst="downArrow">
          <a:avLst>
            <a:gd name="adj1" fmla="val 55000"/>
            <a:gd name="adj2" fmla="val 45000"/>
          </a:avLst>
        </a:prstGeom>
      </dgm:spPr>
      <dgm:t>
        <a:bodyPr/>
        <a:lstStyle/>
        <a:p>
          <a:endParaRPr lang="en-US"/>
        </a:p>
      </dgm:t>
    </dgm:pt>
    <dgm:pt modelId="{F0F9D704-62C4-44A0-8393-6C157169AD16}" type="pres">
      <dgm:prSet presAssocID="{1A878D6A-372E-40D0-B434-87418EFF06F0}" presName="FourConn_3-4" presStyleLbl="fgAccFollowNode1" presStyleIdx="2" presStyleCnt="3">
        <dgm:presLayoutVars>
          <dgm:bulletEnabled val="1"/>
        </dgm:presLayoutVars>
      </dgm:prSet>
      <dgm:spPr>
        <a:prstGeom prst="downArrow">
          <a:avLst>
            <a:gd name="adj1" fmla="val 55000"/>
            <a:gd name="adj2" fmla="val 45000"/>
          </a:avLst>
        </a:prstGeom>
      </dgm:spPr>
      <dgm:t>
        <a:bodyPr/>
        <a:lstStyle/>
        <a:p>
          <a:endParaRPr lang="en-US"/>
        </a:p>
      </dgm:t>
    </dgm:pt>
    <dgm:pt modelId="{DBD2FF76-7A0C-4F71-BC94-C5AE3702CCA1}" type="pres">
      <dgm:prSet presAssocID="{1A878D6A-372E-40D0-B434-87418EFF06F0}" presName="FourNodes_1_text" presStyleLbl="node1" presStyleIdx="3" presStyleCnt="4">
        <dgm:presLayoutVars>
          <dgm:bulletEnabled val="1"/>
        </dgm:presLayoutVars>
      </dgm:prSet>
      <dgm:spPr/>
      <dgm:t>
        <a:bodyPr/>
        <a:lstStyle/>
        <a:p>
          <a:endParaRPr lang="en-US"/>
        </a:p>
      </dgm:t>
    </dgm:pt>
    <dgm:pt modelId="{8954E0F3-2A33-45C7-9748-A7DA60B85079}" type="pres">
      <dgm:prSet presAssocID="{1A878D6A-372E-40D0-B434-87418EFF06F0}" presName="FourNodes_2_text" presStyleLbl="node1" presStyleIdx="3" presStyleCnt="4">
        <dgm:presLayoutVars>
          <dgm:bulletEnabled val="1"/>
        </dgm:presLayoutVars>
      </dgm:prSet>
      <dgm:spPr/>
      <dgm:t>
        <a:bodyPr/>
        <a:lstStyle/>
        <a:p>
          <a:endParaRPr lang="en-US"/>
        </a:p>
      </dgm:t>
    </dgm:pt>
    <dgm:pt modelId="{AD89455E-534A-4F38-B9DC-2188517107DE}" type="pres">
      <dgm:prSet presAssocID="{1A878D6A-372E-40D0-B434-87418EFF06F0}" presName="FourNodes_3_text" presStyleLbl="node1" presStyleIdx="3" presStyleCnt="4">
        <dgm:presLayoutVars>
          <dgm:bulletEnabled val="1"/>
        </dgm:presLayoutVars>
      </dgm:prSet>
      <dgm:spPr/>
      <dgm:t>
        <a:bodyPr/>
        <a:lstStyle/>
        <a:p>
          <a:endParaRPr lang="en-US"/>
        </a:p>
      </dgm:t>
    </dgm:pt>
    <dgm:pt modelId="{19B36A0E-7BF3-42D7-BDE7-1D544E747B64}" type="pres">
      <dgm:prSet presAssocID="{1A878D6A-372E-40D0-B434-87418EFF06F0}" presName="FourNodes_4_text" presStyleLbl="node1" presStyleIdx="3" presStyleCnt="4">
        <dgm:presLayoutVars>
          <dgm:bulletEnabled val="1"/>
        </dgm:presLayoutVars>
      </dgm:prSet>
      <dgm:spPr/>
      <dgm:t>
        <a:bodyPr/>
        <a:lstStyle/>
        <a:p>
          <a:endParaRPr lang="en-US"/>
        </a:p>
      </dgm:t>
    </dgm:pt>
  </dgm:ptLst>
  <dgm:cxnLst>
    <dgm:cxn modelId="{EEAF1B62-2CC8-4B90-8C42-0DC88FD6254F}" type="presOf" srcId="{B878E17D-06E0-4BBA-8236-76310DB6BE1F}" destId="{0653DBC9-A0B0-4993-BCCB-1FF91911A07A}" srcOrd="0" destOrd="1" presId="urn:microsoft.com/office/officeart/2005/8/layout/vProcess5"/>
    <dgm:cxn modelId="{AD4FB869-91F9-438A-BDA3-03F8A48DC33D}" type="presOf" srcId="{1A878D6A-372E-40D0-B434-87418EFF06F0}" destId="{C23CFCA8-CBC4-476A-9680-961A925C4EF3}" srcOrd="0" destOrd="0" presId="urn:microsoft.com/office/officeart/2005/8/layout/vProcess5"/>
    <dgm:cxn modelId="{81D0770D-BB04-448C-8F46-8E26751CF454}" type="presOf" srcId="{A391151C-454E-4F71-B63C-DE62D15539B9}" destId="{DBD2FF76-7A0C-4F71-BC94-C5AE3702CCA1}" srcOrd="1" destOrd="0" presId="urn:microsoft.com/office/officeart/2005/8/layout/vProcess5"/>
    <dgm:cxn modelId="{6F7404B6-35D0-42A9-BC0F-EA5036CD1EC0}" type="presOf" srcId="{05EACD8F-A3F5-4837-B27B-C9DEDE4CF689}" destId="{8954E0F3-2A33-45C7-9748-A7DA60B85079}" srcOrd="1" destOrd="0" presId="urn:microsoft.com/office/officeart/2005/8/layout/vProcess5"/>
    <dgm:cxn modelId="{929E770B-AA6E-4634-BC3E-3B988AC80E1B}" type="presOf" srcId="{28DF0D59-6E03-41A4-8447-D1CADFC236B4}" destId="{32E6ED1E-3D78-4C4E-A7D8-F384CD4CCDD8}" srcOrd="0" destOrd="1" presId="urn:microsoft.com/office/officeart/2005/8/layout/vProcess5"/>
    <dgm:cxn modelId="{7CA0943A-27DA-4154-B477-648387BB395A}" type="presOf" srcId="{6C0A5162-7137-4601-B33A-720DDD3C118E}" destId="{19B36A0E-7BF3-42D7-BDE7-1D544E747B64}" srcOrd="1" destOrd="0" presId="urn:microsoft.com/office/officeart/2005/8/layout/vProcess5"/>
    <dgm:cxn modelId="{B07E1CA2-6AC6-4D70-99EA-31D0A15266D7}" type="presOf" srcId="{B878E17D-06E0-4BBA-8236-76310DB6BE1F}" destId="{DBD2FF76-7A0C-4F71-BC94-C5AE3702CCA1}" srcOrd="1" destOrd="1" presId="urn:microsoft.com/office/officeart/2005/8/layout/vProcess5"/>
    <dgm:cxn modelId="{08EA1DF3-64D1-4BDA-ADD8-01377C6936B5}" type="presOf" srcId="{1CB363F8-4E74-4885-BE53-DD8CEDF71274}" destId="{4BBB1AEE-5062-4A56-8851-3D206CF1F62E}" srcOrd="0" destOrd="0" presId="urn:microsoft.com/office/officeart/2005/8/layout/vProcess5"/>
    <dgm:cxn modelId="{91DE0C99-407F-40FF-8548-A4DDB75E90AA}" type="presOf" srcId="{A391151C-454E-4F71-B63C-DE62D15539B9}" destId="{0653DBC9-A0B0-4993-BCCB-1FF91911A07A}" srcOrd="0" destOrd="0" presId="urn:microsoft.com/office/officeart/2005/8/layout/vProcess5"/>
    <dgm:cxn modelId="{A514908B-CF1F-492F-9A1B-70D751ED0659}" srcId="{1A878D6A-372E-40D0-B434-87418EFF06F0}" destId="{A391151C-454E-4F71-B63C-DE62D15539B9}" srcOrd="0" destOrd="0" parTransId="{E8131A0E-8FD1-49CE-ADE0-C4CF70287429}" sibTransId="{1CB363F8-4E74-4885-BE53-DD8CEDF71274}"/>
    <dgm:cxn modelId="{62E8ADBE-D781-421F-A2BE-84EEB397EFEB}" type="presOf" srcId="{05EACD8F-A3F5-4837-B27B-C9DEDE4CF689}" destId="{32E6ED1E-3D78-4C4E-A7D8-F384CD4CCDD8}" srcOrd="0" destOrd="0" presId="urn:microsoft.com/office/officeart/2005/8/layout/vProcess5"/>
    <dgm:cxn modelId="{52227A40-E348-4D38-AED8-C6F5896AED03}" type="presOf" srcId="{28DF0D59-6E03-41A4-8447-D1CADFC236B4}" destId="{8954E0F3-2A33-45C7-9748-A7DA60B85079}" srcOrd="1" destOrd="1" presId="urn:microsoft.com/office/officeart/2005/8/layout/vProcess5"/>
    <dgm:cxn modelId="{454ABD6A-3887-4159-9201-7B3733EA98EF}" type="presOf" srcId="{A762CA8E-D332-4482-A65D-0272A7E56B3C}" destId="{F0F9D704-62C4-44A0-8393-6C157169AD16}" srcOrd="0" destOrd="0" presId="urn:microsoft.com/office/officeart/2005/8/layout/vProcess5"/>
    <dgm:cxn modelId="{464C8CB4-D674-4FD5-9A75-C2FD499BCA91}" srcId="{1A878D6A-372E-40D0-B434-87418EFF06F0}" destId="{05EACD8F-A3F5-4837-B27B-C9DEDE4CF689}" srcOrd="1" destOrd="0" parTransId="{2471EDB6-07C6-4168-9F6F-FDCAF6DAAC0A}" sibTransId="{522FC7D6-7A91-4CBD-9383-964D152AC24F}"/>
    <dgm:cxn modelId="{1A813F40-2106-4031-A5CB-28033BB62A26}" srcId="{1A878D6A-372E-40D0-B434-87418EFF06F0}" destId="{1C622926-3E1D-46AE-8358-73D9C270F5C0}" srcOrd="2" destOrd="0" parTransId="{AAFC175B-C50A-46F3-815B-DD7ECA21382C}" sibTransId="{A762CA8E-D332-4482-A65D-0272A7E56B3C}"/>
    <dgm:cxn modelId="{D04EDC6B-BE3B-4DEB-8259-62E2DA372AB0}" srcId="{05EACD8F-A3F5-4837-B27B-C9DEDE4CF689}" destId="{28DF0D59-6E03-41A4-8447-D1CADFC236B4}" srcOrd="0" destOrd="0" parTransId="{D0946EF1-E00F-4C98-A135-BEADDF78C42B}" sibTransId="{25B6AC83-EFB7-4720-AD49-2A646D0384A8}"/>
    <dgm:cxn modelId="{67A3F3B1-BBC9-451B-BEE2-02101CBA4AC1}" type="presOf" srcId="{1C622926-3E1D-46AE-8358-73D9C270F5C0}" destId="{AD89455E-534A-4F38-B9DC-2188517107DE}" srcOrd="1" destOrd="0" presId="urn:microsoft.com/office/officeart/2005/8/layout/vProcess5"/>
    <dgm:cxn modelId="{74A0006C-65C9-4727-8FE6-8D41B9731B67}" type="presOf" srcId="{1C622926-3E1D-46AE-8358-73D9C270F5C0}" destId="{EAC1AFB2-1A7C-400E-90C7-F4C6B0E1B199}" srcOrd="0" destOrd="0" presId="urn:microsoft.com/office/officeart/2005/8/layout/vProcess5"/>
    <dgm:cxn modelId="{BB43153E-4614-436D-BEE4-263437E31955}" srcId="{1A878D6A-372E-40D0-B434-87418EFF06F0}" destId="{6C0A5162-7137-4601-B33A-720DDD3C118E}" srcOrd="3" destOrd="0" parTransId="{FA7C44CA-C2A9-4845-A6F7-566DE8FB3FA5}" sibTransId="{0DA01F25-8139-4F53-89CA-F407827FC05B}"/>
    <dgm:cxn modelId="{6CFE53B7-60C9-41C2-A3E0-227DF20980EB}" type="presOf" srcId="{6C0A5162-7137-4601-B33A-720DDD3C118E}" destId="{CB8A0621-45DE-43FE-8EAC-4D412D9DDCB0}" srcOrd="0" destOrd="0" presId="urn:microsoft.com/office/officeart/2005/8/layout/vProcess5"/>
    <dgm:cxn modelId="{CB2255EC-6806-4B7E-A117-1E510F6A2746}" srcId="{A391151C-454E-4F71-B63C-DE62D15539B9}" destId="{B878E17D-06E0-4BBA-8236-76310DB6BE1F}" srcOrd="0" destOrd="0" parTransId="{B3B33429-9323-4EB1-94C0-0DFBDC50B5F1}" sibTransId="{9B754733-355A-479C-803E-4196CF03BAD5}"/>
    <dgm:cxn modelId="{2C3A98CF-2BC0-4186-ABBD-9B48446FF1E2}" type="presOf" srcId="{522FC7D6-7A91-4CBD-9383-964D152AC24F}" destId="{F02B263F-2F1B-4098-A7BC-73A0F88F0C01}" srcOrd="0" destOrd="0" presId="urn:microsoft.com/office/officeart/2005/8/layout/vProcess5"/>
    <dgm:cxn modelId="{80EF1019-2B46-4E35-90A8-0B71E3A58A5A}" type="presParOf" srcId="{C23CFCA8-CBC4-476A-9680-961A925C4EF3}" destId="{C3F94E7D-63B5-4F9F-87CB-BCE0BC5F4031}" srcOrd="0" destOrd="0" presId="urn:microsoft.com/office/officeart/2005/8/layout/vProcess5"/>
    <dgm:cxn modelId="{BC620A5B-1B37-4FB4-A01F-FD7A923A6AC3}" type="presParOf" srcId="{C23CFCA8-CBC4-476A-9680-961A925C4EF3}" destId="{0653DBC9-A0B0-4993-BCCB-1FF91911A07A}" srcOrd="1" destOrd="0" presId="urn:microsoft.com/office/officeart/2005/8/layout/vProcess5"/>
    <dgm:cxn modelId="{6CAD59D7-BFBD-482E-88F7-1F31BB6E95DA}" type="presParOf" srcId="{C23CFCA8-CBC4-476A-9680-961A925C4EF3}" destId="{32E6ED1E-3D78-4C4E-A7D8-F384CD4CCDD8}" srcOrd="2" destOrd="0" presId="urn:microsoft.com/office/officeart/2005/8/layout/vProcess5"/>
    <dgm:cxn modelId="{543F9E69-14BD-48FC-99A5-1EBA1C387386}" type="presParOf" srcId="{C23CFCA8-CBC4-476A-9680-961A925C4EF3}" destId="{EAC1AFB2-1A7C-400E-90C7-F4C6B0E1B199}" srcOrd="3" destOrd="0" presId="urn:microsoft.com/office/officeart/2005/8/layout/vProcess5"/>
    <dgm:cxn modelId="{314FA987-1BCE-4FD9-958B-398B0D338669}" type="presParOf" srcId="{C23CFCA8-CBC4-476A-9680-961A925C4EF3}" destId="{CB8A0621-45DE-43FE-8EAC-4D412D9DDCB0}" srcOrd="4" destOrd="0" presId="urn:microsoft.com/office/officeart/2005/8/layout/vProcess5"/>
    <dgm:cxn modelId="{3C7698A1-562E-44C9-BB9E-9F76974A9689}" type="presParOf" srcId="{C23CFCA8-CBC4-476A-9680-961A925C4EF3}" destId="{4BBB1AEE-5062-4A56-8851-3D206CF1F62E}" srcOrd="5" destOrd="0" presId="urn:microsoft.com/office/officeart/2005/8/layout/vProcess5"/>
    <dgm:cxn modelId="{CA616D9A-B3B1-4362-9C28-1957E7CD71DE}" type="presParOf" srcId="{C23CFCA8-CBC4-476A-9680-961A925C4EF3}" destId="{F02B263F-2F1B-4098-A7BC-73A0F88F0C01}" srcOrd="6" destOrd="0" presId="urn:microsoft.com/office/officeart/2005/8/layout/vProcess5"/>
    <dgm:cxn modelId="{3AFB027F-439F-41D5-A852-003C94AF12F0}" type="presParOf" srcId="{C23CFCA8-CBC4-476A-9680-961A925C4EF3}" destId="{F0F9D704-62C4-44A0-8393-6C157169AD16}" srcOrd="7" destOrd="0" presId="urn:microsoft.com/office/officeart/2005/8/layout/vProcess5"/>
    <dgm:cxn modelId="{6E1566BE-18D4-4C01-946F-EC5DB4974543}" type="presParOf" srcId="{C23CFCA8-CBC4-476A-9680-961A925C4EF3}" destId="{DBD2FF76-7A0C-4F71-BC94-C5AE3702CCA1}" srcOrd="8" destOrd="0" presId="urn:microsoft.com/office/officeart/2005/8/layout/vProcess5"/>
    <dgm:cxn modelId="{2CF82F06-E6FF-4BA4-BEDC-35A7D9656205}" type="presParOf" srcId="{C23CFCA8-CBC4-476A-9680-961A925C4EF3}" destId="{8954E0F3-2A33-45C7-9748-A7DA60B85079}" srcOrd="9" destOrd="0" presId="urn:microsoft.com/office/officeart/2005/8/layout/vProcess5"/>
    <dgm:cxn modelId="{EB476649-C3D5-49C9-8CBE-60263C25EFC8}" type="presParOf" srcId="{C23CFCA8-CBC4-476A-9680-961A925C4EF3}" destId="{AD89455E-534A-4F38-B9DC-2188517107DE}" srcOrd="10" destOrd="0" presId="urn:microsoft.com/office/officeart/2005/8/layout/vProcess5"/>
    <dgm:cxn modelId="{ED00671A-0BBB-409B-9DBE-2EF372696FB1}" type="presParOf" srcId="{C23CFCA8-CBC4-476A-9680-961A925C4EF3}" destId="{19B36A0E-7BF3-42D7-BDE7-1D544E747B64}" srcOrd="11" destOrd="0" presId="urn:microsoft.com/office/officeart/2005/8/layout/vProcess5"/>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53DBC9-A0B0-4993-BCCB-1FF91911A07A}">
      <dsp:nvSpPr>
        <dsp:cNvPr id="0" name=""/>
        <dsp:cNvSpPr/>
      </dsp:nvSpPr>
      <dsp:spPr>
        <a:xfrm>
          <a:off x="-257073" y="-45716"/>
          <a:ext cx="3735227" cy="1296275"/>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bg-BG"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Набиране на информация</a:t>
          </a:r>
        </a:p>
        <a:p>
          <a:pPr lvl="0" algn="l" defTabSz="533400">
            <a:lnSpc>
              <a:spcPct val="90000"/>
            </a:lnSpc>
            <a:spcBef>
              <a:spcPct val="0"/>
            </a:spcBef>
            <a:spcAft>
              <a:spcPct val="35000"/>
            </a:spcAft>
          </a:pPr>
          <a:endParaRPr lang="bg-BG"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a:p>
          <a:pPr lvl="0" algn="l" defTabSz="533400">
            <a:lnSpc>
              <a:spcPct val="90000"/>
            </a:lnSpc>
            <a:spcBef>
              <a:spcPct val="0"/>
            </a:spcBef>
            <a:spcAft>
              <a:spcPct val="35000"/>
            </a:spcAft>
          </a:pP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определяне на изследвания обект;</a:t>
          </a:r>
        </a:p>
        <a:p>
          <a:pPr lvl="0" algn="l" defTabSz="533400">
            <a:lnSpc>
              <a:spcPct val="90000"/>
            </a:lnSpc>
            <a:spcBef>
              <a:spcPct val="0"/>
            </a:spcBef>
            <a:spcAft>
              <a:spcPct val="35000"/>
            </a:spcAft>
          </a:pP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посочване на критерии за попадане в извадката;</a:t>
          </a:r>
        </a:p>
        <a:p>
          <a:pPr lvl="0" algn="l" defTabSz="533400">
            <a:lnSpc>
              <a:spcPct val="90000"/>
            </a:lnSpc>
            <a:spcBef>
              <a:spcPct val="0"/>
            </a:spcBef>
            <a:spcAft>
              <a:spcPct val="35000"/>
            </a:spcAft>
          </a:pP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провеждане на емпирично изследване.  </a:t>
          </a:r>
          <a:endParaRPr lang="en-US"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a:p>
          <a:pPr marL="114300" lvl="1" indent="-114300" algn="l" defTabSz="533400">
            <a:lnSpc>
              <a:spcPct val="90000"/>
            </a:lnSpc>
            <a:spcBef>
              <a:spcPct val="0"/>
            </a:spcBef>
            <a:spcAft>
              <a:spcPct val="15000"/>
            </a:spcAft>
            <a:buChar char="••"/>
          </a:pPr>
          <a:endParaRPr lang="en-US"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19106" y="-7749"/>
        <a:ext cx="2308295" cy="1220341"/>
      </dsp:txXfrm>
    </dsp:sp>
    <dsp:sp modelId="{32E6ED1E-3D78-4C4E-A7D8-F384CD4CCDD8}">
      <dsp:nvSpPr>
        <dsp:cNvPr id="0" name=""/>
        <dsp:cNvSpPr/>
      </dsp:nvSpPr>
      <dsp:spPr>
        <a:xfrm>
          <a:off x="-175265" y="1371662"/>
          <a:ext cx="4141375" cy="1113409"/>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bg-BG"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Обработка на информацията</a:t>
          </a:r>
        </a:p>
        <a:p>
          <a:pPr lvl="0" algn="l" defTabSz="533400">
            <a:lnSpc>
              <a:spcPct val="90000"/>
            </a:lnSpc>
            <a:spcBef>
              <a:spcPct val="0"/>
            </a:spcBef>
            <a:spcAft>
              <a:spcPct val="35000"/>
            </a:spcAft>
          </a:pP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въвеждане на информацията в електронна среда;</a:t>
          </a:r>
        </a:p>
        <a:p>
          <a:pPr lvl="0" algn="l" defTabSz="533400">
            <a:lnSpc>
              <a:spcPct val="90000"/>
            </a:lnSpc>
            <a:spcBef>
              <a:spcPct val="0"/>
            </a:spcBef>
            <a:spcAft>
              <a:spcPct val="35000"/>
            </a:spcAft>
          </a:pP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-въвеждане на източниците и доказателствения материал.</a:t>
          </a:r>
          <a:endParaRPr lang="en-US"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a:p>
          <a:pPr marL="114300" lvl="1" indent="-114300" algn="l" defTabSz="533400">
            <a:lnSpc>
              <a:spcPct val="90000"/>
            </a:lnSpc>
            <a:spcBef>
              <a:spcPct val="0"/>
            </a:spcBef>
            <a:spcAft>
              <a:spcPct val="15000"/>
            </a:spcAft>
            <a:buChar char="••"/>
          </a:pPr>
          <a:endParaRPr lang="en-US"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42654" y="1404273"/>
        <a:ext cx="2848196" cy="1048187"/>
      </dsp:txXfrm>
    </dsp:sp>
    <dsp:sp modelId="{EAC1AFB2-1A7C-400E-90C7-F4C6B0E1B199}">
      <dsp:nvSpPr>
        <dsp:cNvPr id="0" name=""/>
        <dsp:cNvSpPr/>
      </dsp:nvSpPr>
      <dsp:spPr>
        <a:xfrm>
          <a:off x="140926" y="2579330"/>
          <a:ext cx="4070248" cy="1309569"/>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bg-BG"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Статистически анализ</a:t>
          </a:r>
        </a:p>
        <a:p>
          <a:pPr lvl="0" algn="l" defTabSz="533400">
            <a:lnSpc>
              <a:spcPct val="90000"/>
            </a:lnSpc>
            <a:spcBef>
              <a:spcPct val="0"/>
            </a:spcBef>
            <a:spcAft>
              <a:spcPct val="35000"/>
            </a:spcAft>
          </a:pPr>
          <a:r>
            <a:rPr lang="bg-BG"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a:t>
          </a: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дискриптивна статистика</a:t>
          </a:r>
        </a:p>
        <a:p>
          <a:pPr lvl="0" algn="l" defTabSz="533400">
            <a:lnSpc>
              <a:spcPct val="90000"/>
            </a:lnSpc>
            <a:spcBef>
              <a:spcPct val="0"/>
            </a:spcBef>
            <a:spcAft>
              <a:spcPct val="35000"/>
            </a:spcAft>
          </a:pP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средни велични </a:t>
          </a:r>
        </a:p>
        <a:p>
          <a:pPr lvl="0" algn="l" defTabSz="533400">
            <a:lnSpc>
              <a:spcPct val="90000"/>
            </a:lnSpc>
            <a:spcBef>
              <a:spcPct val="0"/>
            </a:spcBef>
            <a:spcAft>
              <a:spcPct val="35000"/>
            </a:spcAft>
          </a:pP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исторически и системен продход</a:t>
          </a:r>
        </a:p>
        <a:p>
          <a:pPr lvl="0" algn="l" defTabSz="533400">
            <a:lnSpc>
              <a:spcPct val="90000"/>
            </a:lnSpc>
            <a:spcBef>
              <a:spcPct val="0"/>
            </a:spcBef>
            <a:spcAft>
              <a:spcPct val="35000"/>
            </a:spcAft>
          </a:pPr>
          <a:r>
            <a:rPr lang="bg-BG"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нормативен подход</a:t>
          </a:r>
        </a:p>
        <a:p>
          <a:pPr lvl="0" algn="l" defTabSz="533400">
            <a:lnSpc>
              <a:spcPct val="90000"/>
            </a:lnSpc>
            <a:spcBef>
              <a:spcPct val="0"/>
            </a:spcBef>
            <a:spcAft>
              <a:spcPct val="35000"/>
            </a:spcAft>
          </a:pPr>
          <a:r>
            <a:rPr lang="bg-BG"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-др. </a:t>
          </a:r>
          <a:endParaRPr lang="en-US"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79282" y="2617686"/>
        <a:ext cx="2791756" cy="1232857"/>
      </dsp:txXfrm>
    </dsp:sp>
    <dsp:sp modelId="{CB8A0621-45DE-43FE-8EAC-4D412D9DDCB0}">
      <dsp:nvSpPr>
        <dsp:cNvPr id="0" name=""/>
        <dsp:cNvSpPr/>
      </dsp:nvSpPr>
      <dsp:spPr>
        <a:xfrm>
          <a:off x="412831" y="3993257"/>
          <a:ext cx="4096202" cy="1113409"/>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bg-BG"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Резултати</a:t>
          </a:r>
        </a:p>
        <a:p>
          <a:pPr lvl="0" algn="l" defTabSz="533400">
            <a:lnSpc>
              <a:spcPct val="90000"/>
            </a:lnSpc>
            <a:spcBef>
              <a:spcPct val="0"/>
            </a:spcBef>
            <a:spcAft>
              <a:spcPct val="35000"/>
            </a:spcAft>
          </a:pP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извеждане на единична цена за определения разход</a:t>
          </a:r>
        </a:p>
        <a:p>
          <a:pPr lvl="0" algn="l" defTabSz="533400">
            <a:lnSpc>
              <a:spcPct val="90000"/>
            </a:lnSpc>
            <a:spcBef>
              <a:spcPct val="0"/>
            </a:spcBef>
            <a:spcAft>
              <a:spcPct val="35000"/>
            </a:spcAft>
          </a:pPr>
          <a:r>
            <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извеждане на разход заложени в мерките</a:t>
          </a:r>
        </a:p>
        <a:p>
          <a:pPr lvl="0" algn="l" defTabSz="533400">
            <a:lnSpc>
              <a:spcPct val="90000"/>
            </a:lnSpc>
            <a:spcBef>
              <a:spcPct val="0"/>
            </a:spcBef>
            <a:spcAft>
              <a:spcPct val="35000"/>
            </a:spcAft>
          </a:pPr>
          <a:endParaRPr lang="bg-BG"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445442" y="4025868"/>
        <a:ext cx="2816417" cy="1048187"/>
      </dsp:txXfrm>
    </dsp:sp>
    <dsp:sp modelId="{4BBB1AEE-5062-4A56-8851-3D206CF1F62E}">
      <dsp:nvSpPr>
        <dsp:cNvPr id="0" name=""/>
        <dsp:cNvSpPr/>
      </dsp:nvSpPr>
      <dsp:spPr>
        <a:xfrm>
          <a:off x="2587608" y="898486"/>
          <a:ext cx="723715" cy="723715"/>
        </a:xfrm>
        <a:prstGeom prst="downArrow">
          <a:avLst>
            <a:gd name="adj1" fmla="val 55000"/>
            <a:gd name="adj2" fmla="val 45000"/>
          </a:avLst>
        </a:prstGeom>
        <a:solidFill>
          <a:sysClr val="window" lastClr="FFFFFF">
            <a:alpha val="90000"/>
            <a:tint val="40000"/>
            <a:hueOff val="0"/>
            <a:satOff val="0"/>
            <a:lumOff val="0"/>
            <a:alphaOff val="0"/>
          </a:sysClr>
        </a:solidFill>
        <a:ln w="12700" cap="flat" cmpd="sng" algn="ctr">
          <a:solidFill>
            <a:sysClr val="windowText" lastClr="000000">
              <a:alpha val="9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endParaRPr lang="en-US" sz="1050" kern="1200">
            <a:solidFill>
              <a:sysClr val="windowText" lastClr="000000">
                <a:hueOff val="0"/>
                <a:satOff val="0"/>
                <a:lumOff val="0"/>
                <a:alphaOff val="0"/>
              </a:sysClr>
            </a:solidFill>
            <a:latin typeface="Calibri" panose="020F0502020204030204"/>
            <a:ea typeface="+mn-ea"/>
            <a:cs typeface="+mn-cs"/>
          </a:endParaRPr>
        </a:p>
      </dsp:txBody>
      <dsp:txXfrm>
        <a:off x="2750444" y="898486"/>
        <a:ext cx="398043" cy="544596"/>
      </dsp:txXfrm>
    </dsp:sp>
    <dsp:sp modelId="{F02B263F-2F1B-4098-A7BC-73A0F88F0C01}">
      <dsp:nvSpPr>
        <dsp:cNvPr id="0" name=""/>
        <dsp:cNvSpPr/>
      </dsp:nvSpPr>
      <dsp:spPr>
        <a:xfrm>
          <a:off x="2872489" y="2214333"/>
          <a:ext cx="723715" cy="723715"/>
        </a:xfrm>
        <a:prstGeom prst="downArrow">
          <a:avLst>
            <a:gd name="adj1" fmla="val 55000"/>
            <a:gd name="adj2" fmla="val 45000"/>
          </a:avLst>
        </a:prstGeom>
        <a:solidFill>
          <a:sysClr val="window" lastClr="FFFFFF">
            <a:alpha val="90000"/>
            <a:tint val="40000"/>
            <a:hueOff val="0"/>
            <a:satOff val="0"/>
            <a:lumOff val="0"/>
            <a:alphaOff val="0"/>
          </a:sysClr>
        </a:solidFill>
        <a:ln w="12700" cap="flat" cmpd="sng" algn="ctr">
          <a:solidFill>
            <a:sysClr val="windowText" lastClr="000000">
              <a:alpha val="9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endParaRPr lang="en-US" sz="1050" kern="1200">
            <a:solidFill>
              <a:sysClr val="windowText" lastClr="000000">
                <a:hueOff val="0"/>
                <a:satOff val="0"/>
                <a:lumOff val="0"/>
                <a:alphaOff val="0"/>
              </a:sysClr>
            </a:solidFill>
            <a:latin typeface="Calibri" panose="020F0502020204030204"/>
            <a:ea typeface="+mn-ea"/>
            <a:cs typeface="+mn-cs"/>
          </a:endParaRPr>
        </a:p>
      </dsp:txBody>
      <dsp:txXfrm>
        <a:off x="3035325" y="2214333"/>
        <a:ext cx="398043" cy="544596"/>
      </dsp:txXfrm>
    </dsp:sp>
    <dsp:sp modelId="{F0F9D704-62C4-44A0-8393-6C157169AD16}">
      <dsp:nvSpPr>
        <dsp:cNvPr id="0" name=""/>
        <dsp:cNvSpPr/>
      </dsp:nvSpPr>
      <dsp:spPr>
        <a:xfrm>
          <a:off x="3153119" y="3530180"/>
          <a:ext cx="723715" cy="723715"/>
        </a:xfrm>
        <a:prstGeom prst="downArrow">
          <a:avLst>
            <a:gd name="adj1" fmla="val 55000"/>
            <a:gd name="adj2" fmla="val 45000"/>
          </a:avLst>
        </a:prstGeom>
        <a:solidFill>
          <a:sysClr val="window" lastClr="FFFFFF">
            <a:alpha val="90000"/>
            <a:tint val="40000"/>
            <a:hueOff val="0"/>
            <a:satOff val="0"/>
            <a:lumOff val="0"/>
            <a:alphaOff val="0"/>
          </a:sysClr>
        </a:solidFill>
        <a:ln w="12700" cap="flat" cmpd="sng" algn="ctr">
          <a:solidFill>
            <a:sysClr val="windowText" lastClr="000000">
              <a:alpha val="9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lvl="0" algn="ctr" defTabSz="466725">
            <a:lnSpc>
              <a:spcPct val="90000"/>
            </a:lnSpc>
            <a:spcBef>
              <a:spcPct val="0"/>
            </a:spcBef>
            <a:spcAft>
              <a:spcPct val="35000"/>
            </a:spcAft>
          </a:pPr>
          <a:endParaRPr lang="en-US" sz="1050" kern="1200">
            <a:solidFill>
              <a:sysClr val="windowText" lastClr="000000">
                <a:hueOff val="0"/>
                <a:satOff val="0"/>
                <a:lumOff val="0"/>
                <a:alphaOff val="0"/>
              </a:sysClr>
            </a:solidFill>
            <a:latin typeface="Calibri" panose="020F0502020204030204"/>
            <a:ea typeface="+mn-ea"/>
            <a:cs typeface="+mn-cs"/>
          </a:endParaRPr>
        </a:p>
      </dsp:txBody>
      <dsp:txXfrm>
        <a:off x="3315955" y="3530180"/>
        <a:ext cx="398043" cy="544596"/>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ACDCD-2F92-4825-B507-AB8F46805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44235</Words>
  <Characters>252141</Characters>
  <Application>Microsoft Office Word</Application>
  <DocSecurity>0</DocSecurity>
  <Lines>2101</Lines>
  <Paragraphs>591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Snezhana Grigorova</cp:lastModifiedBy>
  <cp:revision>2</cp:revision>
  <cp:lastPrinted>2019-05-13T08:25:00Z</cp:lastPrinted>
  <dcterms:created xsi:type="dcterms:W3CDTF">2019-06-06T13:43:00Z</dcterms:created>
  <dcterms:modified xsi:type="dcterms:W3CDTF">2019-06-06T13:43:00Z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